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2022年下半年天津市全国中小学教师资格考试考生防疫与安全须知</w:t>
      </w:r>
    </w:p>
    <w:p>
      <w:pPr>
        <w:spacing w:line="560" w:lineRule="exact"/>
        <w:rPr>
          <w:rFonts w:ascii="仿宋" w:hAnsi="仿宋" w:eastAsia="仿宋" w:cs="仿宋"/>
          <w:sz w:val="32"/>
          <w:szCs w:val="32"/>
        </w:rPr>
      </w:pPr>
    </w:p>
    <w:p>
      <w:pPr>
        <w:spacing w:line="560" w:lineRule="exact"/>
        <w:ind w:firstLine="640" w:firstLineChars="200"/>
        <w:rPr>
          <w:rFonts w:ascii="Times New Roman" w:hAnsi="Times New Roman" w:eastAsia="仿宋_GB2312" w:cs="方正仿宋_GBK"/>
          <w:sz w:val="32"/>
          <w:szCs w:val="32"/>
        </w:rPr>
      </w:pPr>
      <w:r>
        <w:rPr>
          <w:rFonts w:ascii="Times New Roman" w:hAnsi="Times New Roman" w:eastAsia="仿宋_GB2312" w:cs="Times New Roman"/>
          <w:sz w:val="32"/>
          <w:szCs w:val="32"/>
        </w:rPr>
        <w:t>为做好2022年下半年天津市</w:t>
      </w:r>
      <w:r>
        <w:rPr>
          <w:rFonts w:hint="eastAsia" w:ascii="Times New Roman" w:hAnsi="Times New Roman" w:eastAsia="仿宋_GB2312" w:cs="Times New Roman"/>
          <w:sz w:val="32"/>
          <w:szCs w:val="32"/>
        </w:rPr>
        <w:t>全国中小学教师资格</w:t>
      </w:r>
      <w:r>
        <w:rPr>
          <w:rFonts w:ascii="Times New Roman" w:hAnsi="Times New Roman" w:eastAsia="仿宋_GB2312" w:cs="Times New Roman"/>
          <w:sz w:val="32"/>
          <w:szCs w:val="32"/>
        </w:rPr>
        <w:t>考试</w:t>
      </w:r>
      <w:r>
        <w:rPr>
          <w:rFonts w:hint="eastAsia" w:ascii="Times New Roman" w:hAnsi="Times New Roman" w:eastAsia="仿宋_GB2312" w:cs="Times New Roman"/>
          <w:sz w:val="32"/>
          <w:szCs w:val="32"/>
        </w:rPr>
        <w:t>笔试</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教师资格考试</w:t>
      </w:r>
      <w:r>
        <w:rPr>
          <w:rFonts w:ascii="Times New Roman" w:hAnsi="Times New Roman" w:eastAsia="仿宋_GB2312" w:cs="Times New Roman"/>
          <w:sz w:val="32"/>
          <w:szCs w:val="32"/>
        </w:rPr>
        <w:t>”）防疫安全工作，保障广大考生和考试工作人员的生命安全和身体健康，现将有关事项通知如下：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一、考前防疫要求</w:t>
      </w:r>
    </w:p>
    <w:p>
      <w:pPr>
        <w:overflowPunct w:val="0"/>
        <w:spacing w:line="560" w:lineRule="exact"/>
        <w:ind w:firstLine="640" w:firstLineChars="200"/>
        <w:rPr>
          <w:rFonts w:ascii="Times New Roman" w:hAnsi="Times New Roman" w:eastAsia="仿宋_GB2312" w:cs="方正仿宋_GBK"/>
          <w:sz w:val="32"/>
          <w:szCs w:val="32"/>
        </w:rPr>
      </w:pPr>
      <w:r>
        <w:rPr>
          <w:rFonts w:hint="eastAsia" w:ascii="楷体_GB2312" w:hAnsi="楷体_GB2312" w:eastAsia="楷体_GB2312" w:cs="楷体_GB2312"/>
          <w:sz w:val="32"/>
          <w:szCs w:val="32"/>
        </w:rPr>
        <w:t>（一）如实申报个人健康信息</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1．考生须至少于考前7天（10月22日前）使用手机下载“天津数字防疫APP”，在“一屏通行”中申领“天津健康码”和“通信大数据行程卡”，每日登录更新健康码状态。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1431290</wp:posOffset>
            </wp:positionH>
            <wp:positionV relativeFrom="paragraph">
              <wp:posOffset>12065</wp:posOffset>
            </wp:positionV>
            <wp:extent cx="2219325" cy="3129280"/>
            <wp:effectExtent l="0" t="0" r="952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219325" cy="3129280"/>
                    </a:xfrm>
                    <a:prstGeom prst="rect">
                      <a:avLst/>
                    </a:prstGeom>
                    <a:noFill/>
                    <a:ln w="9525">
                      <a:noFill/>
                      <a:miter lim="800000"/>
                      <a:headEnd/>
                      <a:tailEnd/>
                    </a:ln>
                  </pic:spPr>
                </pic:pic>
              </a:graphicData>
            </a:graphic>
          </wp:anchor>
        </w:drawing>
      </w:r>
      <w:r>
        <w:rPr>
          <w:rFonts w:hint="eastAsia" w:ascii="Times New Roman" w:hAnsi="Times New Roman" w:eastAsia="仿宋_GB2312" w:cs="Times New Roman"/>
          <w:sz w:val="32"/>
          <w:szCs w:val="32"/>
        </w:rPr>
        <w:t>2．考生须至少于考前7天（10月22日前）登录“招考资讯网”（www.zhaokao.net）下载《2022年下半年天津市全国中小学教师资格考试考生健康卡及安全考试承诺书》（以下简称《健康卡》，见附件1）和《流行病学调查表》（以下简称《流调表》，见附件2）；按规定如实记录考前7天期间体温，签署《健康卡》，填写《流调表》，将以上材料在每场考试入场时交给工作人员。参加多个科目考试的考生须填写多份《健康卡》和《流调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3．考生须至少于考前7天（10月22日前）通过电脑或手机登录“天津市全国中小学教师资格考试健康监测”小程序，每天如实填报个人健康信息。</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电脑端：登录https://jiankang.zhaokao.net:9366/进入；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手机端：登录微信-小程序，搜索“天津招考”点击“天津市全国中小学教师资格考试健康监测”进入，或登录https://jiankang.zhaokao.net:9366/进入。</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（二）考前核酸检测</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应按要求合理安排考前核酸检测时间，确保考试入场前查询到检测结果，以免影响参加考试（出具的核酸检测阴性证明时间依据采样时间计算）。核酸检测阴性证明可以为核酸检测机构出具的纸质报告或“天津数字防疫APP”在线实时查询调取的电子报告。</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2．考前7天内始终在津且可以自由流动的考生，须持考前48小时内核酸检测阴性证明参加考试。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bookmarkStart w:id="0" w:name="_GoBack"/>
      <w:r>
        <w:rPr>
          <w:rFonts w:hint="eastAsia" w:ascii="Times New Roman" w:hAnsi="Times New Roman" w:eastAsia="仿宋_GB2312" w:cs="Times New Roman"/>
          <w:sz w:val="32"/>
          <w:szCs w:val="32"/>
        </w:rPr>
        <w:t>考前7天内具有我市低风险区旅居史的考生；解除集中隔离未满7日的考生；与居家健康监测人员同住的考生；具有发热、干咳、乏力等可疑症状，尚未经医疗机构鉴诊的考生；确诊病例/无症状感染者符合出院/舱标准且离院/舱后未满28日的考生；离开风险区域、重点疫情地区未满10日的考生；其他需要核酸筛查的考生，须持考前72小时内两次核酸检测阴性证明（考前24小时一次，且两次间隔须超过24小时）参加考试。</w:t>
      </w:r>
      <w:bookmarkEnd w:id="0"/>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二、考试注意事项</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参加考试须确保证件材料齐全，进入考点参加考试所需证件、材料包括：①考生准考证；②有效身份证件；③通信大数据行程卡“绿码”；④实时天津健康码“绿码”；⑤规定时效内的核酸检测阴性证明；⑥填写完整的《健康卡》；⑦填写完整的《流调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2．考生须遵守考点疫情防控相关规定，积极配合健康检查和登记，如遇突发情况须听从考点工作人员安排。考试当日考生应预留充足的时间，提前到达考点以免影响考试。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3．考试期间除入场身份核查外，考生须全程佩戴一次性医用口罩或医用外科口罩。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4．考生须听从考点工作人员指挥，依据分类管理原则有序进入考场。进、出考场或如厕时均须与他人保持1米以上距离，避免近距离接触交流。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所有考生均须进行考后7天健康监测。如有发热或新冠肺炎疑似症状等异常的，应及时就医排除新冠肺炎，并向报名所在考区报告有关情况。报告主要内容为：姓名、准考证号、身份证号、联系电话、考点学校、异常情况（①有发热等症状，经诊断确诊为新冠肺炎；②有发热等症状，经诊断排除新冠肺炎；③其他情况）。具有高中低风险区（以国务院客户端每日发布为准）、静态管理区、市防控指挥部确定的重点涉疫区和发生本土疫情及感染者关联轨迹区（以津云客户端每日发布为准）旅居史的考生，须于考试后第1日和第3日进行核酸检测，并将核酸检测阴性证明上报报名所在区考试中心（在高校考点参加考试的上报学校教务部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三、特别提示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1．考生须严格遵守我市疫情防控的各项要求，严格落实“七天三不”防疫要求，即抵津7日内不聚餐、不聚会、不前往人员密集场所，务必于</w:t>
      </w:r>
      <w:r>
        <w:rPr>
          <w:rFonts w:ascii="Times New Roman" w:hAnsi="Times New Roman" w:eastAsia="仿宋_GB2312" w:cs="Times New Roman"/>
          <w:sz w:val="32"/>
          <w:szCs w:val="32"/>
        </w:rPr>
        <w:t>考前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w:t>
      </w:r>
      <w:r>
        <w:rPr>
          <w:rFonts w:hint="eastAsia" w:ascii="Times New Roman" w:hAnsi="Times New Roman" w:eastAsia="仿宋_GB2312" w:cs="Times New Roman"/>
          <w:sz w:val="32"/>
          <w:szCs w:val="32"/>
        </w:rPr>
        <w:t>（10月22日前）</w:t>
      </w:r>
      <w:r>
        <w:rPr>
          <w:rFonts w:ascii="Times New Roman" w:hAnsi="Times New Roman" w:eastAsia="仿宋_GB2312" w:cs="Times New Roman"/>
          <w:sz w:val="32"/>
          <w:szCs w:val="32"/>
        </w:rPr>
        <w:t>返</w:t>
      </w:r>
      <w:r>
        <w:rPr>
          <w:rFonts w:hint="eastAsia" w:ascii="Times New Roman" w:hAnsi="Times New Roman" w:eastAsia="仿宋_GB2312" w:cs="Times New Roman"/>
          <w:sz w:val="32"/>
          <w:szCs w:val="32"/>
        </w:rPr>
        <w:t>津且不再离津，方可</w:t>
      </w:r>
      <w:r>
        <w:rPr>
          <w:rFonts w:ascii="Times New Roman" w:hAnsi="Times New Roman" w:eastAsia="仿宋_GB2312" w:cs="Times New Roman"/>
          <w:sz w:val="32"/>
          <w:szCs w:val="32"/>
        </w:rPr>
        <w:t>参加考试</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2．来返津人员应认真阅读我市疫情防控政策，严格执行有关要求。严格执行来返津人员向属地社区或旅店宾馆等落脚地报备要求。考生来</w:t>
      </w:r>
      <w:r>
        <w:rPr>
          <w:rFonts w:ascii="Times New Roman" w:hAnsi="Times New Roman" w:eastAsia="仿宋_GB2312" w:cs="Times New Roman"/>
          <w:sz w:val="32"/>
          <w:szCs w:val="32"/>
        </w:rPr>
        <w:t>返津途中</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做好个人防护</w:t>
      </w:r>
      <w:r>
        <w:rPr>
          <w:rFonts w:hint="eastAsia" w:ascii="Times New Roman" w:hAnsi="Times New Roman" w:eastAsia="仿宋_GB2312" w:cs="Times New Roman"/>
          <w:sz w:val="32"/>
          <w:szCs w:val="32"/>
        </w:rPr>
        <w:t>。来返津需持48小时内的核酸检测阴性证明和“健康码”绿码，抵津后要在设有核酸采样点的机场、火车站、长途客运站、高速路口等进行“落地检”，最晚应于“抵津后6小时内”进行一次核酸检测，在间隔24小时后、72小时内完成第二次核酸检测，阴性结果未出前“非必要”不外出。要做好健康监测，出现发热、干咳等症状，及时主动向社区、单位或住宿宾馆报告，按规定就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3．核酸检测结果为阳性者或在隔离治疗期间的新冠肺炎确诊病例和无症状感染者，及尚未解除隔离的密接和次密接人员，不得参加考试。</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具有高中低风险区（以国务院客户端每日发布为准）、静态管理区域、市防控指挥部确定的重点涉疫区和发生本土疫情所在县（市、区、旗）（直辖市将县（市、区、旗）调整为所在乡镇（街道））及感染者关联轨迹区旅居史的，且未完成规定的隔离管控措施的考生，或其他未排除新冠病毒感染风险的隔离管控的考生，须配合考点进行专业评估研判，经组考单位和辖区指挥部同意，方可参加考试，并服从考点的相应安排。</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凡隐瞒病情或者不如实报告发热史、旅居史和接触史等信息，以及拒不配合考场疫情防控工作的考生，将被取消考试资格，并按照《治安管理处罚法》《传染病防治法》和《关于依法惩治妨害新型冠状病毒感染肺炎疫情防控违法犯罪的意见》等法律法规予以处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6．考试疫情防控措施将根据疫情形势变化适时调整，请考生密切关注“天津市教育招生考试院”微信公众号、“招考资讯网”发布的信息，以及各考区发布的提醒消息，随时留意短信通知，及时了解相关要求。</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7．考生须遵守考点所在地的其他疫情防控要求。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防控疫情，人人有责。请广大考生遵守相关规定，共建共享安全健康的考试环境。</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adjustRightInd w:val="0"/>
        <w:snapToGrid w:val="0"/>
        <w:spacing w:line="574" w:lineRule="exact"/>
        <w:outlineLvl w:val="1"/>
        <w:rPr>
          <w:rFonts w:ascii="黑体" w:hAnsi="黑体" w:eastAsia="黑体" w:cs="黑体"/>
          <w:kern w:val="0"/>
          <w:sz w:val="32"/>
          <w:szCs w:val="32"/>
        </w:rPr>
      </w:pPr>
      <w:r>
        <w:rPr>
          <w:rFonts w:hint="eastAsia" w:ascii="黑体" w:hAnsi="黑体" w:eastAsia="黑体" w:cs="黑体"/>
          <w:kern w:val="0"/>
          <w:sz w:val="32"/>
          <w:szCs w:val="32"/>
        </w:rPr>
        <w:t>附件1</w:t>
      </w:r>
    </w:p>
    <w:p>
      <w:pPr>
        <w:snapToGrid w:val="0"/>
        <w:spacing w:line="400" w:lineRule="exact"/>
        <w:jc w:val="center"/>
        <w:rPr>
          <w:rFonts w:ascii="方正小标宋简体" w:hAnsi="方正小标宋简体" w:eastAsia="方正小标宋简体" w:cs="方正小标宋简体"/>
          <w:bCs/>
          <w:sz w:val="36"/>
          <w:szCs w:val="36"/>
        </w:rPr>
      </w:pPr>
    </w:p>
    <w:p>
      <w:pPr>
        <w:snapToGrid w:val="0"/>
        <w:spacing w:line="4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2022年下半年天津市全国中小学教师资格考试</w:t>
      </w:r>
    </w:p>
    <w:p>
      <w:pPr>
        <w:snapToGrid w:val="0"/>
        <w:spacing w:after="156" w:afterLines="50" w:line="4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考生健康卡及安全考试承诺书</w:t>
      </w:r>
    </w:p>
    <w:tbl>
      <w:tblPr>
        <w:tblStyle w:val="4"/>
        <w:tblW w:w="9918" w:type="dxa"/>
        <w:jc w:val="center"/>
        <w:tblLayout w:type="fixed"/>
        <w:tblCellMar>
          <w:top w:w="0" w:type="dxa"/>
          <w:left w:w="108" w:type="dxa"/>
          <w:bottom w:w="0" w:type="dxa"/>
          <w:right w:w="108" w:type="dxa"/>
        </w:tblCellMar>
      </w:tblPr>
      <w:tblGrid>
        <w:gridCol w:w="1101"/>
        <w:gridCol w:w="1275"/>
        <w:gridCol w:w="1701"/>
        <w:gridCol w:w="2186"/>
        <w:gridCol w:w="2237"/>
        <w:gridCol w:w="1418"/>
      </w:tblGrid>
      <w:tr>
        <w:trPr>
          <w:trHeight w:val="624" w:hRule="atLeast"/>
          <w:jc w:val="center"/>
        </w:trPr>
        <w:tc>
          <w:tcPr>
            <w:tcW w:w="9918"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黑体" w:hAnsi="黑体" w:eastAsia="黑体" w:cs="宋体"/>
                <w:b/>
                <w:bCs/>
                <w:color w:val="000000"/>
                <w:kern w:val="0"/>
                <w:sz w:val="24"/>
              </w:rPr>
            </w:pPr>
            <w:r>
              <w:rPr>
                <w:rFonts w:hint="eastAsia" w:ascii="黑体" w:hAnsi="黑体" w:eastAsia="黑体" w:cs="宋体"/>
                <w:b/>
                <w:bCs/>
                <w:color w:val="000000"/>
                <w:kern w:val="0"/>
                <w:sz w:val="24"/>
              </w:rPr>
              <w:t xml:space="preserve">姓名： </w:t>
            </w:r>
            <w:r>
              <w:rPr>
                <w:rFonts w:ascii="黑体" w:hAnsi="黑体" w:eastAsia="黑体" w:cs="宋体"/>
                <w:b/>
                <w:bCs/>
                <w:color w:val="000000"/>
                <w:kern w:val="0"/>
                <w:sz w:val="24"/>
              </w:rPr>
              <w:t xml:space="preserve">        </w:t>
            </w:r>
            <w:r>
              <w:rPr>
                <w:rFonts w:hint="eastAsia" w:ascii="黑体" w:hAnsi="黑体" w:eastAsia="黑体" w:cs="宋体"/>
                <w:b/>
                <w:bCs/>
                <w:color w:val="000000"/>
                <w:kern w:val="0"/>
                <w:sz w:val="24"/>
              </w:rPr>
              <w:t xml:space="preserve">准考证号： </w:t>
            </w:r>
            <w:r>
              <w:rPr>
                <w:rFonts w:ascii="黑体" w:hAnsi="黑体" w:eastAsia="黑体" w:cs="宋体"/>
                <w:b/>
                <w:bCs/>
                <w:color w:val="000000"/>
                <w:kern w:val="0"/>
                <w:sz w:val="24"/>
              </w:rPr>
              <w:t xml:space="preserve">            </w:t>
            </w:r>
            <w:r>
              <w:rPr>
                <w:rFonts w:hint="eastAsia" w:ascii="黑体" w:hAnsi="黑体" w:eastAsia="黑体" w:cs="宋体"/>
                <w:b/>
                <w:bCs/>
                <w:color w:val="000000"/>
                <w:kern w:val="0"/>
                <w:sz w:val="24"/>
              </w:rPr>
              <w:t>身份证</w:t>
            </w:r>
            <w:r>
              <w:rPr>
                <w:rFonts w:ascii="黑体" w:hAnsi="黑体" w:eastAsia="黑体" w:cs="宋体"/>
                <w:b/>
                <w:bCs/>
                <w:color w:val="000000"/>
                <w:kern w:val="0"/>
                <w:sz w:val="24"/>
              </w:rPr>
              <w:t>号</w:t>
            </w:r>
            <w:r>
              <w:rPr>
                <w:rFonts w:hint="eastAsia" w:ascii="黑体" w:hAnsi="黑体" w:eastAsia="黑体" w:cs="宋体"/>
                <w:b/>
                <w:bCs/>
                <w:color w:val="000000"/>
                <w:kern w:val="0"/>
                <w:sz w:val="24"/>
              </w:rPr>
              <w:t xml:space="preserve">：           </w:t>
            </w:r>
            <w:r>
              <w:rPr>
                <w:rFonts w:ascii="黑体" w:hAnsi="黑体" w:eastAsia="黑体" w:cs="宋体"/>
                <w:b/>
                <w:bCs/>
                <w:color w:val="000000"/>
                <w:kern w:val="0"/>
                <w:sz w:val="24"/>
              </w:rPr>
              <w:t xml:space="preserve">  </w:t>
            </w:r>
            <w:r>
              <w:rPr>
                <w:rFonts w:hint="eastAsia" w:ascii="黑体" w:hAnsi="黑体" w:eastAsia="黑体" w:cs="宋体"/>
                <w:b/>
                <w:bCs/>
                <w:color w:val="000000"/>
                <w:kern w:val="0"/>
                <w:sz w:val="24"/>
              </w:rPr>
              <w:t>考点：</w:t>
            </w:r>
          </w:p>
        </w:tc>
      </w:tr>
      <w:tr>
        <w:tblPrEx>
          <w:tblCellMar>
            <w:top w:w="0" w:type="dxa"/>
            <w:left w:w="108" w:type="dxa"/>
            <w:bottom w:w="0" w:type="dxa"/>
            <w:right w:w="108" w:type="dxa"/>
          </w:tblCellMar>
        </w:tblPrEx>
        <w:trPr>
          <w:trHeight w:val="1134"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天数</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日期</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体温是否超过37.3℃</w:t>
            </w:r>
          </w:p>
        </w:tc>
        <w:tc>
          <w:tcPr>
            <w:tcW w:w="218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本人及共同居住人</w:t>
            </w:r>
          </w:p>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身体健康状况</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是否接触境外返津人员或中高风险区</w:t>
            </w:r>
          </w:p>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返津人员</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b/>
                <w:bCs/>
                <w:color w:val="000000"/>
                <w:kern w:val="0"/>
                <w:sz w:val="24"/>
              </w:rPr>
            </w:pPr>
            <w:r>
              <w:rPr>
                <w:rFonts w:hint="eastAsia" w:ascii="黑体" w:hAnsi="黑体" w:eastAsia="黑体" w:cs="宋体"/>
                <w:b/>
                <w:bCs/>
                <w:color w:val="000000"/>
                <w:kern w:val="0"/>
                <w:sz w:val="24"/>
              </w:rPr>
              <w:t>考前7天内是否离津</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 w:val="24"/>
              </w:rPr>
            </w:pPr>
            <w:r>
              <w:rPr>
                <w:rFonts w:ascii="黑体" w:hAnsi="黑体" w:eastAsia="黑体"/>
                <w:color w:val="000000"/>
                <w:kern w:val="0"/>
                <w:sz w:val="24"/>
              </w:rPr>
              <w:t>第1天</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10月22日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 xml:space="preserve">否□ </w:t>
            </w:r>
            <w:r>
              <w:rPr>
                <w:rFonts w:ascii="黑体" w:hAnsi="黑体" w:eastAsia="黑体" w:cs="宋体"/>
                <w:color w:val="000000"/>
                <w:kern w:val="0"/>
                <w:sz w:val="24"/>
              </w:rPr>
              <w:t xml:space="preserve">  </w:t>
            </w:r>
            <w:r>
              <w:rPr>
                <w:rFonts w:hint="eastAsia" w:ascii="黑体" w:hAnsi="黑体" w:eastAsia="黑体" w:cs="宋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 xml:space="preserve">否□ </w:t>
            </w:r>
            <w:r>
              <w:rPr>
                <w:rFonts w:ascii="黑体" w:hAnsi="黑体" w:eastAsia="黑体" w:cs="宋体"/>
                <w:color w:val="000000"/>
                <w:kern w:val="0"/>
                <w:sz w:val="24"/>
              </w:rPr>
              <w:t xml:space="preserve">  </w:t>
            </w:r>
            <w:r>
              <w:rPr>
                <w:rFonts w:hint="eastAsia" w:ascii="黑体" w:hAnsi="黑体" w:eastAsia="黑体" w:cs="宋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第2天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10月23日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第3天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10月24日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第4天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10月25日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第5天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10月26日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第6天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10月27日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ascii="黑体" w:hAnsi="黑体" w:eastAsia="黑体"/>
                <w:color w:val="000000"/>
                <w:kern w:val="0"/>
                <w:sz w:val="24"/>
              </w:rPr>
              <w:t>第7天</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rPr>
            </w:pPr>
            <w:r>
              <w:rPr>
                <w:rFonts w:hint="eastAsia" w:ascii="黑体" w:hAnsi="黑体" w:eastAsia="黑体"/>
                <w:color w:val="000000"/>
                <w:kern w:val="0"/>
                <w:sz w:val="24"/>
              </w:rPr>
              <w:t>10月28日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考试</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ascii="黑体" w:hAnsi="黑体" w:eastAsia="黑体"/>
                <w:color w:val="000000"/>
                <w:kern w:val="0"/>
                <w:sz w:val="24"/>
              </w:rPr>
            </w:pPr>
            <w:r>
              <w:rPr>
                <w:rFonts w:hint="eastAsia" w:ascii="黑体" w:hAnsi="黑体" w:eastAsia="黑体"/>
                <w:color w:val="000000"/>
                <w:kern w:val="0"/>
                <w:sz w:val="24"/>
              </w:rPr>
              <w:t>10月29日</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218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健康□ 不适 □</w:t>
            </w:r>
          </w:p>
        </w:tc>
        <w:tc>
          <w:tcPr>
            <w:tcW w:w="223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 xml:space="preserve">否□ </w:t>
            </w:r>
            <w:r>
              <w:rPr>
                <w:rFonts w:ascii="黑体" w:hAnsi="黑体" w:eastAsia="黑体"/>
                <w:color w:val="000000"/>
                <w:kern w:val="0"/>
                <w:sz w:val="24"/>
              </w:rPr>
              <w:t xml:space="preserve">  </w:t>
            </w:r>
            <w:r>
              <w:rPr>
                <w:rFonts w:hint="eastAsia" w:ascii="黑体" w:hAnsi="黑体" w:eastAsia="黑体"/>
                <w:color w:val="000000"/>
                <w:kern w:val="0"/>
                <w:sz w:val="24"/>
              </w:rPr>
              <w:t xml:space="preserve"> 是□</w:t>
            </w:r>
          </w:p>
        </w:tc>
        <w:tc>
          <w:tcPr>
            <w:tcW w:w="1418"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olor w:val="000000"/>
                <w:kern w:val="0"/>
                <w:sz w:val="24"/>
              </w:rPr>
            </w:pPr>
            <w:r>
              <w:rPr>
                <w:rFonts w:hint="eastAsia" w:ascii="黑体" w:hAnsi="黑体" w:eastAsia="黑体"/>
                <w:color w:val="000000"/>
                <w:kern w:val="0"/>
                <w:sz w:val="24"/>
              </w:rPr>
              <w:t>否□ 是□</w:t>
            </w:r>
          </w:p>
        </w:tc>
      </w:tr>
      <w:tr>
        <w:tblPrEx>
          <w:tblCellMar>
            <w:top w:w="0" w:type="dxa"/>
            <w:left w:w="108" w:type="dxa"/>
            <w:bottom w:w="0" w:type="dxa"/>
            <w:right w:w="108" w:type="dxa"/>
          </w:tblCellMar>
        </w:tblPrEx>
        <w:trPr>
          <w:trHeight w:val="1151" w:hRule="atLeast"/>
          <w:jc w:val="center"/>
        </w:trPr>
        <w:tc>
          <w:tcPr>
            <w:tcW w:w="2376"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本人及共同居住人身体不适情况、接触返津人员情况及离津</w:t>
            </w:r>
          </w:p>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情况记录</w:t>
            </w:r>
          </w:p>
        </w:tc>
        <w:tc>
          <w:tcPr>
            <w:tcW w:w="7542" w:type="dxa"/>
            <w:gridSpan w:val="4"/>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3005" w:hRule="atLeast"/>
          <w:jc w:val="center"/>
        </w:trPr>
        <w:tc>
          <w:tcPr>
            <w:tcW w:w="23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黑体" w:hAnsi="黑体" w:eastAsia="黑体" w:cs="宋体"/>
                <w:color w:val="000000"/>
                <w:kern w:val="0"/>
                <w:sz w:val="24"/>
              </w:rPr>
            </w:pPr>
            <w:r>
              <w:rPr>
                <w:rFonts w:hint="eastAsia" w:ascii="黑体" w:hAnsi="黑体" w:eastAsia="黑体" w:cs="宋体"/>
                <w:color w:val="000000"/>
                <w:kern w:val="0"/>
                <w:sz w:val="24"/>
              </w:rPr>
              <w:t>考生承诺书</w:t>
            </w:r>
          </w:p>
        </w:tc>
        <w:tc>
          <w:tcPr>
            <w:tcW w:w="754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rPr>
                <w:rFonts w:ascii="黑体" w:hAnsi="黑体" w:eastAsia="黑体" w:cs="宋体"/>
                <w:color w:val="000000"/>
                <w:kern w:val="0"/>
                <w:sz w:val="24"/>
              </w:rPr>
            </w:pPr>
            <w:r>
              <w:rPr>
                <w:rFonts w:ascii="黑体" w:hAnsi="黑体" w:eastAsia="黑体" w:cs="宋体"/>
                <w:color w:val="000000"/>
                <w:kern w:val="0"/>
                <w:sz w:val="24"/>
              </w:rPr>
              <w:t>本人已阅读并理解《202</w:t>
            </w:r>
            <w:r>
              <w:rPr>
                <w:rFonts w:hint="eastAsia" w:ascii="黑体" w:hAnsi="黑体" w:eastAsia="黑体" w:cs="宋体"/>
                <w:color w:val="000000"/>
                <w:kern w:val="0"/>
                <w:sz w:val="24"/>
              </w:rPr>
              <w:t>2</w:t>
            </w:r>
            <w:r>
              <w:rPr>
                <w:rFonts w:ascii="黑体" w:hAnsi="黑体" w:eastAsia="黑体" w:cs="宋体"/>
                <w:color w:val="000000"/>
                <w:kern w:val="0"/>
                <w:sz w:val="24"/>
              </w:rPr>
              <w:t>年</w:t>
            </w:r>
            <w:r>
              <w:rPr>
                <w:rFonts w:hint="eastAsia" w:ascii="黑体" w:hAnsi="黑体" w:eastAsia="黑体" w:cs="宋体"/>
                <w:color w:val="000000"/>
                <w:kern w:val="0"/>
                <w:sz w:val="24"/>
              </w:rPr>
              <w:t>下半年天津市全国中小学教师资格考试</w:t>
            </w:r>
            <w:r>
              <w:rPr>
                <w:rFonts w:ascii="黑体" w:hAnsi="黑体" w:eastAsia="黑体" w:cs="宋体"/>
                <w:color w:val="000000"/>
                <w:kern w:val="0"/>
                <w:sz w:val="24"/>
              </w:rPr>
              <w:t>考生</w:t>
            </w:r>
            <w:r>
              <w:rPr>
                <w:rFonts w:hint="eastAsia" w:ascii="黑体" w:hAnsi="黑体" w:eastAsia="黑体" w:cs="宋体"/>
                <w:color w:val="000000"/>
                <w:kern w:val="0"/>
                <w:sz w:val="24"/>
              </w:rPr>
              <w:t>防疫与安全</w:t>
            </w:r>
            <w:r>
              <w:rPr>
                <w:rFonts w:ascii="黑体" w:hAnsi="黑体" w:eastAsia="黑体" w:cs="宋体"/>
                <w:color w:val="000000"/>
                <w:kern w:val="0"/>
                <w:sz w:val="24"/>
              </w:rPr>
              <w:t>须知》，愿意遵守相关规定，承担社会疫情防控责任，并做如下承诺：</w:t>
            </w:r>
          </w:p>
          <w:p>
            <w:pPr>
              <w:widowControl/>
              <w:spacing w:line="300" w:lineRule="exact"/>
              <w:rPr>
                <w:rFonts w:ascii="黑体" w:hAnsi="黑体" w:eastAsia="黑体" w:cs="宋体"/>
                <w:color w:val="000000"/>
                <w:kern w:val="0"/>
                <w:sz w:val="24"/>
              </w:rPr>
            </w:pPr>
            <w:r>
              <w:rPr>
                <w:rFonts w:hint="eastAsia" w:ascii="黑体" w:hAnsi="黑体" w:eastAsia="黑体" w:cs="黑体"/>
                <w:color w:val="000000"/>
                <w:kern w:val="0"/>
                <w:sz w:val="24"/>
              </w:rPr>
              <w:t>我已知晓“考生防疫安全须知”，并保证严格按照须知内容执行。我将如实填写健康卡，如有发热、乏力、咳嗽、呼吸困难、腹泻等病状出现，将及时向考点报告，并立即就医。如因隐瞒病情及发热史、旅居史和接触史引起影响公共安全的后果，本人将承担相应的法律责任，自愿接受《治安管理处罚法》《传染病防治法》和《关于依法惩治妨害新型冠状病毒感染肺炎疫情防控违法犯罪的意见》等法律法规的处罚和制裁。</w:t>
            </w:r>
          </w:p>
        </w:tc>
      </w:tr>
    </w:tbl>
    <w:p>
      <w:pPr>
        <w:widowControl/>
        <w:spacing w:before="156" w:beforeLines="50" w:line="300" w:lineRule="exact"/>
        <w:jc w:val="left"/>
        <w:rPr>
          <w:rFonts w:ascii="楷体" w:hAnsi="楷体" w:eastAsia="楷体"/>
          <w:b/>
          <w:bCs/>
          <w:sz w:val="28"/>
          <w:szCs w:val="28"/>
        </w:rPr>
      </w:pPr>
      <w:r>
        <w:rPr>
          <w:rFonts w:hint="eastAsia" w:ascii="楷体" w:hAnsi="楷体" w:eastAsia="楷体"/>
          <w:b/>
          <w:bCs/>
          <w:sz w:val="28"/>
          <w:szCs w:val="28"/>
        </w:rPr>
        <w:t>联系</w:t>
      </w:r>
      <w:r>
        <w:rPr>
          <w:rFonts w:ascii="楷体" w:hAnsi="楷体" w:eastAsia="楷体"/>
          <w:b/>
          <w:bCs/>
          <w:sz w:val="28"/>
          <w:szCs w:val="28"/>
        </w:rPr>
        <w:t>电话：</w:t>
      </w:r>
      <w:r>
        <w:rPr>
          <w:rFonts w:hint="eastAsia" w:ascii="楷体" w:hAnsi="楷体" w:eastAsia="楷体"/>
          <w:b/>
          <w:bCs/>
          <w:sz w:val="28"/>
          <w:szCs w:val="28"/>
        </w:rPr>
        <w:t xml:space="preserve">  </w:t>
      </w:r>
      <w:r>
        <w:rPr>
          <w:rFonts w:ascii="楷体" w:hAnsi="楷体" w:eastAsia="楷体"/>
          <w:b/>
          <w:bCs/>
          <w:sz w:val="28"/>
          <w:szCs w:val="28"/>
        </w:rPr>
        <w:t xml:space="preserve">          </w:t>
      </w:r>
      <w:r>
        <w:rPr>
          <w:rFonts w:hint="eastAsia" w:ascii="楷体" w:hAnsi="楷体" w:eastAsia="楷体"/>
          <w:b/>
          <w:bCs/>
          <w:sz w:val="28"/>
          <w:szCs w:val="28"/>
        </w:rPr>
        <w:t xml:space="preserve">    </w:t>
      </w:r>
      <w:r>
        <w:rPr>
          <w:rFonts w:ascii="楷体" w:hAnsi="楷体" w:eastAsia="楷体"/>
          <w:b/>
          <w:bCs/>
          <w:sz w:val="28"/>
          <w:szCs w:val="28"/>
        </w:rPr>
        <w:t xml:space="preserve">    </w:t>
      </w:r>
      <w:r>
        <w:rPr>
          <w:rFonts w:hint="eastAsia" w:ascii="楷体" w:hAnsi="楷体" w:eastAsia="楷体"/>
          <w:b/>
          <w:bCs/>
          <w:sz w:val="28"/>
          <w:szCs w:val="28"/>
        </w:rPr>
        <w:t xml:space="preserve">  本人签字： </w:t>
      </w:r>
      <w:r>
        <w:rPr>
          <w:rFonts w:ascii="楷体" w:hAnsi="楷体" w:eastAsia="楷体"/>
          <w:b/>
          <w:bCs/>
          <w:sz w:val="28"/>
          <w:szCs w:val="28"/>
        </w:rPr>
        <w:t xml:space="preserve">              </w:t>
      </w:r>
    </w:p>
    <w:p>
      <w:pPr>
        <w:widowControl/>
        <w:spacing w:before="156" w:beforeLines="50" w:line="300" w:lineRule="exact"/>
        <w:jc w:val="left"/>
        <w:rPr>
          <w:rFonts w:ascii="Times New Roman" w:hAnsi="Times New Roman" w:eastAsia="仿宋_GB2312" w:cs="Times New Roman"/>
          <w:color w:val="FF0000"/>
          <w:sz w:val="32"/>
          <w:szCs w:val="32"/>
        </w:rPr>
      </w:pPr>
      <w:r>
        <w:rPr>
          <w:rFonts w:hint="eastAsia" w:ascii="楷体" w:hAnsi="楷体" w:eastAsia="楷体"/>
          <w:b/>
          <w:bCs/>
          <w:sz w:val="28"/>
          <w:szCs w:val="28"/>
        </w:rPr>
        <w:t>备注：每场考试入场时，须将此卡交考点工作人员</w:t>
      </w:r>
      <w:r>
        <w:rPr>
          <w:rFonts w:ascii="Times New Roman" w:hAnsi="Times New Roman" w:eastAsia="仿宋_GB2312" w:cs="Times New Roman"/>
          <w:color w:val="FF0000"/>
          <w:sz w:val="32"/>
          <w:szCs w:val="32"/>
        </w:rPr>
        <w:br w:type="page"/>
      </w:r>
    </w:p>
    <w:p>
      <w:pPr>
        <w:snapToGrid w:val="0"/>
        <w:spacing w:line="400" w:lineRule="exact"/>
        <w:rPr>
          <w:rFonts w:ascii="Times New Roman" w:hAnsi="Times New Roman" w:eastAsia="华文宋体" w:cs="宋体"/>
          <w:b/>
          <w:kern w:val="0"/>
          <w:sz w:val="24"/>
        </w:rPr>
      </w:pPr>
      <w:r>
        <w:rPr>
          <w:rFonts w:hint="eastAsia" w:ascii="黑体" w:hAnsi="黑体" w:eastAsia="黑体" w:cs="黑体"/>
          <w:bCs/>
          <w:sz w:val="32"/>
          <w:szCs w:val="32"/>
        </w:rPr>
        <w:t>附件2</w:t>
      </w:r>
    </w:p>
    <w:p>
      <w:pPr>
        <w:spacing w:line="400" w:lineRule="exact"/>
        <w:jc w:val="center"/>
        <w:rPr>
          <w:rFonts w:ascii="方正小标宋简体" w:hAnsi="Times New Roman" w:eastAsia="方正小标宋简体"/>
          <w:kern w:val="0"/>
          <w:sz w:val="36"/>
          <w:szCs w:val="36"/>
        </w:rPr>
      </w:pPr>
      <w:r>
        <w:rPr>
          <w:rFonts w:hint="eastAsia" w:ascii="方正小标宋简体" w:hAnsi="Times New Roman" w:eastAsia="方正小标宋简体"/>
          <w:spacing w:val="90"/>
          <w:kern w:val="0"/>
          <w:sz w:val="36"/>
          <w:szCs w:val="36"/>
          <w:fitText w:val="3600" w:id="-1431512576"/>
        </w:rPr>
        <w:t>流行病学调查</w:t>
      </w:r>
      <w:r>
        <w:rPr>
          <w:rFonts w:hint="eastAsia" w:ascii="方正小标宋简体" w:hAnsi="Times New Roman" w:eastAsia="方正小标宋简体"/>
          <w:spacing w:val="0"/>
          <w:kern w:val="0"/>
          <w:sz w:val="36"/>
          <w:szCs w:val="36"/>
          <w:fitText w:val="3600" w:id="-1431512576"/>
        </w:rPr>
        <w:t>表</w:t>
      </w:r>
    </w:p>
    <w:p>
      <w:pPr>
        <w:spacing w:line="400" w:lineRule="exact"/>
        <w:jc w:val="left"/>
        <w:rPr>
          <w:rFonts w:ascii="仿宋" w:hAnsi="仿宋" w:eastAsia="仿宋"/>
          <w:szCs w:val="21"/>
        </w:rPr>
      </w:pPr>
      <w:r>
        <w:rPr>
          <w:rFonts w:hint="eastAsia" w:ascii="仿宋" w:hAnsi="仿宋" w:eastAsia="仿宋"/>
          <w:sz w:val="28"/>
          <w:szCs w:val="28"/>
        </w:rPr>
        <w:t>姓名：</w:t>
      </w:r>
      <w:r>
        <w:rPr>
          <w:rFonts w:ascii="仿宋" w:hAnsi="仿宋" w:eastAsia="仿宋"/>
          <w:sz w:val="28"/>
          <w:szCs w:val="28"/>
        </w:rPr>
        <w:t xml:space="preserve">           </w:t>
      </w:r>
      <w:r>
        <w:rPr>
          <w:rFonts w:hint="eastAsia" w:ascii="仿宋" w:hAnsi="仿宋" w:eastAsia="仿宋"/>
          <w:sz w:val="28"/>
          <w:szCs w:val="28"/>
        </w:rPr>
        <w:t>性别：</w:t>
      </w:r>
      <w:r>
        <w:rPr>
          <w:rFonts w:ascii="仿宋" w:hAnsi="仿宋" w:eastAsia="仿宋"/>
          <w:sz w:val="28"/>
          <w:szCs w:val="28"/>
        </w:rPr>
        <w:t xml:space="preserve">        </w:t>
      </w:r>
      <w:r>
        <w:rPr>
          <w:rFonts w:hint="eastAsia" w:ascii="仿宋" w:hAnsi="仿宋" w:eastAsia="仿宋"/>
          <w:sz w:val="28"/>
          <w:szCs w:val="28"/>
        </w:rPr>
        <w:t>年龄：</w:t>
      </w:r>
      <w:r>
        <w:rPr>
          <w:rFonts w:ascii="仿宋" w:hAnsi="仿宋" w:eastAsia="仿宋"/>
          <w:sz w:val="28"/>
          <w:szCs w:val="28"/>
        </w:rPr>
        <w:t xml:space="preserve">       </w:t>
      </w:r>
      <w:r>
        <w:rPr>
          <w:rFonts w:hint="eastAsia" w:ascii="仿宋" w:hAnsi="仿宋" w:eastAsia="仿宋"/>
          <w:sz w:val="28"/>
          <w:szCs w:val="28"/>
        </w:rPr>
        <w:t>考点：</w:t>
      </w:r>
      <w:r>
        <w:rPr>
          <w:rFonts w:ascii="仿宋" w:hAnsi="仿宋" w:eastAsia="仿宋"/>
          <w:sz w:val="28"/>
          <w:szCs w:val="28"/>
        </w:rPr>
        <w:t xml:space="preserve">             </w:t>
      </w:r>
    </w:p>
    <w:tbl>
      <w:tblPr>
        <w:tblStyle w:val="4"/>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6118"/>
        <w:gridCol w:w="110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06" w:type="dxa"/>
            <w:shd w:val="clear" w:color="auto" w:fill="auto"/>
            <w:noWrap/>
            <w:vAlign w:val="center"/>
          </w:tcPr>
          <w:p>
            <w:pPr>
              <w:widowControl/>
              <w:spacing w:line="300" w:lineRule="exact"/>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6118" w:type="dxa"/>
            <w:tcBorders>
              <w:bottom w:val="single" w:color="auto" w:sz="4" w:space="0"/>
            </w:tcBorders>
            <w:shd w:val="clear" w:color="auto" w:fill="auto"/>
            <w:noWrap/>
            <w:vAlign w:val="center"/>
          </w:tcPr>
          <w:p>
            <w:pPr>
              <w:widowControl/>
              <w:spacing w:line="300" w:lineRule="exact"/>
              <w:jc w:val="center"/>
              <w:rPr>
                <w:rFonts w:ascii="仿宋" w:hAnsi="仿宋" w:eastAsia="仿宋" w:cs="宋体"/>
                <w:b/>
                <w:bCs/>
                <w:kern w:val="0"/>
                <w:szCs w:val="21"/>
              </w:rPr>
            </w:pPr>
            <w:r>
              <w:rPr>
                <w:rFonts w:hint="eastAsia" w:ascii="仿宋" w:hAnsi="仿宋" w:eastAsia="仿宋" w:cs="宋体"/>
                <w:b/>
                <w:bCs/>
                <w:kern w:val="0"/>
                <w:szCs w:val="21"/>
              </w:rPr>
              <w:t>类别</w:t>
            </w:r>
          </w:p>
        </w:tc>
        <w:tc>
          <w:tcPr>
            <w:tcW w:w="1103" w:type="dxa"/>
            <w:tcBorders>
              <w:bottom w:val="single" w:color="auto" w:sz="4" w:space="0"/>
            </w:tcBorders>
            <w:vAlign w:val="center"/>
          </w:tcPr>
          <w:p>
            <w:pPr>
              <w:widowControl/>
              <w:spacing w:line="300" w:lineRule="exact"/>
              <w:jc w:val="center"/>
              <w:rPr>
                <w:rFonts w:ascii="仿宋" w:hAnsi="仿宋" w:eastAsia="仿宋" w:cs="宋体"/>
                <w:b/>
                <w:bCs/>
                <w:kern w:val="0"/>
                <w:szCs w:val="21"/>
              </w:rPr>
            </w:pPr>
            <w:r>
              <w:rPr>
                <w:rFonts w:hint="eastAsia" w:ascii="仿宋" w:hAnsi="仿宋" w:eastAsia="仿宋" w:cs="宋体"/>
                <w:b/>
                <w:bCs/>
                <w:kern w:val="0"/>
                <w:szCs w:val="21"/>
              </w:rPr>
              <w:t>否</w:t>
            </w:r>
          </w:p>
        </w:tc>
        <w:tc>
          <w:tcPr>
            <w:tcW w:w="1138" w:type="dxa"/>
            <w:tcBorders>
              <w:bottom w:val="single" w:color="auto" w:sz="4" w:space="0"/>
            </w:tcBorders>
            <w:shd w:val="clear" w:color="auto" w:fill="auto"/>
            <w:noWrap/>
            <w:vAlign w:val="center"/>
          </w:tcPr>
          <w:p>
            <w:pPr>
              <w:widowControl/>
              <w:spacing w:line="300" w:lineRule="exact"/>
              <w:jc w:val="center"/>
              <w:rPr>
                <w:rFonts w:ascii="仿宋" w:hAnsi="仿宋" w:eastAsia="仿宋" w:cs="宋体"/>
                <w:b/>
                <w:bCs/>
                <w:kern w:val="0"/>
                <w:szCs w:val="21"/>
              </w:rPr>
            </w:pPr>
            <w:r>
              <w:rPr>
                <w:rFonts w:hint="eastAsia" w:ascii="仿宋" w:hAnsi="仿宋" w:eastAsia="仿宋" w:cs="宋体"/>
                <w:b/>
                <w:bCs/>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ascii="仿宋" w:hAnsi="仿宋" w:eastAsia="仿宋"/>
                <w:szCs w:val="21"/>
              </w:rPr>
              <w:t>近</w:t>
            </w:r>
            <w:r>
              <w:rPr>
                <w:rFonts w:hint="eastAsia" w:ascii="仿宋" w:hAnsi="仿宋" w:eastAsia="仿宋"/>
                <w:szCs w:val="21"/>
              </w:rPr>
              <w:t>14</w:t>
            </w:r>
            <w:r>
              <w:rPr>
                <w:rFonts w:ascii="仿宋" w:hAnsi="仿宋" w:eastAsia="仿宋"/>
                <w:szCs w:val="21"/>
              </w:rPr>
              <w:t>天内有无港台地区、境外旅行史和居住史：</w:t>
            </w:r>
          </w:p>
        </w:tc>
        <w:tc>
          <w:tcPr>
            <w:tcW w:w="1103" w:type="dxa"/>
            <w:tcBorders>
              <w:bottom w:val="dashed" w:color="auto" w:sz="4" w:space="0"/>
            </w:tcBorders>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无 </w:t>
            </w:r>
            <w:r>
              <w:rPr>
                <w:rFonts w:ascii="仿宋" w:hAnsi="仿宋" w:eastAsia="仿宋"/>
                <w:szCs w:val="21"/>
              </w:rPr>
              <w:t xml:space="preserve"> </w:t>
            </w:r>
            <w:r>
              <w:rPr>
                <w:rFonts w:hint="eastAsia" w:ascii="仿宋" w:hAnsi="仿宋" w:eastAsia="仿宋"/>
                <w:szCs w:val="21"/>
              </w:rPr>
              <w:t>□</w:t>
            </w:r>
          </w:p>
        </w:tc>
        <w:tc>
          <w:tcPr>
            <w:tcW w:w="1138" w:type="dxa"/>
            <w:tcBorders>
              <w:bottom w:val="dashed" w:color="auto" w:sz="4" w:space="0"/>
            </w:tcBorders>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有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b/>
                <w:szCs w:val="21"/>
              </w:rPr>
            </w:pPr>
          </w:p>
        </w:tc>
        <w:tc>
          <w:tcPr>
            <w:tcW w:w="8359" w:type="dxa"/>
            <w:gridSpan w:val="3"/>
            <w:tcBorders>
              <w:top w:val="single"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若有，您属于：隔离满7天，居家健康监测满3天（）；隔离满7天，居家健康监测未满3天（）；隔离未满7天（）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2</w:t>
            </w:r>
          </w:p>
        </w:tc>
        <w:tc>
          <w:tcPr>
            <w:tcW w:w="6118" w:type="dxa"/>
            <w:tcBorders>
              <w:top w:val="dashed" w:color="auto" w:sz="4" w:space="0"/>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近7天有无澳门地区旅居史：</w:t>
            </w:r>
            <w:r>
              <w:rPr>
                <w:rFonts w:ascii="仿宋" w:hAnsi="仿宋" w:eastAsia="仿宋"/>
                <w:szCs w:val="21"/>
              </w:rPr>
              <w:t xml:space="preserve"> </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无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有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b/>
                <w:szCs w:val="21"/>
              </w:rPr>
            </w:pPr>
          </w:p>
        </w:tc>
        <w:tc>
          <w:tcPr>
            <w:tcW w:w="8359" w:type="dxa"/>
            <w:gridSpan w:val="3"/>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若有，您属于：不符合入境防疫标准（）；符合入境防疫标准（）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3</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近7天有境内高中低风险区及静态管理区旅居史，接触境内高中低风险区及静态管理区旅居史的人员：</w:t>
            </w:r>
          </w:p>
        </w:tc>
        <w:tc>
          <w:tcPr>
            <w:tcW w:w="1103" w:type="dxa"/>
            <w:vMerge w:val="restart"/>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无 </w:t>
            </w:r>
            <w:r>
              <w:rPr>
                <w:rFonts w:ascii="仿宋" w:hAnsi="仿宋" w:eastAsia="仿宋"/>
                <w:szCs w:val="21"/>
              </w:rPr>
              <w:t xml:space="preserve"> </w:t>
            </w:r>
            <w:r>
              <w:rPr>
                <w:rFonts w:hint="eastAsia" w:ascii="仿宋" w:hAnsi="仿宋" w:eastAsia="仿宋"/>
                <w:szCs w:val="21"/>
              </w:rPr>
              <w:t>□</w:t>
            </w:r>
          </w:p>
        </w:tc>
        <w:tc>
          <w:tcPr>
            <w:tcW w:w="1138" w:type="dxa"/>
            <w:vMerge w:val="restart"/>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有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b/>
                <w:szCs w:val="21"/>
              </w:rPr>
            </w:pPr>
          </w:p>
        </w:tc>
        <w:tc>
          <w:tcPr>
            <w:tcW w:w="6118" w:type="dxa"/>
            <w:tcBorders>
              <w:top w:val="dashSmallGap" w:color="auto" w:sz="4" w:space="0"/>
            </w:tcBorders>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若有，您属于：高风险区（）；中风险区（）；低风险区（）；静态管理区（），填写优先级为高风险区＞中风险区＞低风险区</w:t>
            </w:r>
          </w:p>
        </w:tc>
        <w:tc>
          <w:tcPr>
            <w:tcW w:w="1103" w:type="dxa"/>
            <w:vMerge w:val="continue"/>
            <w:vAlign w:val="center"/>
          </w:tcPr>
          <w:p>
            <w:pPr>
              <w:widowControl/>
              <w:spacing w:line="300" w:lineRule="exact"/>
              <w:jc w:val="center"/>
              <w:rPr>
                <w:rFonts w:ascii="仿宋" w:hAnsi="仿宋" w:eastAsia="仿宋"/>
                <w:szCs w:val="21"/>
              </w:rPr>
            </w:pPr>
          </w:p>
        </w:tc>
        <w:tc>
          <w:tcPr>
            <w:tcW w:w="1138" w:type="dxa"/>
            <w:vMerge w:val="continue"/>
            <w:shd w:val="clear" w:color="auto" w:fill="auto"/>
            <w:noWrap/>
            <w:vAlign w:val="center"/>
          </w:tcPr>
          <w:p>
            <w:pPr>
              <w:widowControl/>
              <w:spacing w:line="3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4</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判定为新冠病毒感染者（确诊病例及无症状感染者）/疑似病例：</w:t>
            </w:r>
          </w:p>
        </w:tc>
        <w:tc>
          <w:tcPr>
            <w:tcW w:w="1103" w:type="dxa"/>
            <w:vMerge w:val="restart"/>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vMerge w:val="restart"/>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b/>
                <w:szCs w:val="21"/>
              </w:rPr>
            </w:pPr>
          </w:p>
        </w:tc>
        <w:tc>
          <w:tcPr>
            <w:tcW w:w="6118" w:type="dxa"/>
            <w:tcBorders>
              <w:top w:val="dashSmallGap" w:color="auto" w:sz="4" w:space="0"/>
            </w:tcBorders>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若是，您属于：疑似病例（）不符合出院/舱标准（）</w:t>
            </w:r>
          </w:p>
          <w:p>
            <w:pPr>
              <w:spacing w:line="300" w:lineRule="exact"/>
              <w:rPr>
                <w:rFonts w:ascii="仿宋" w:hAnsi="仿宋" w:eastAsia="仿宋"/>
                <w:szCs w:val="21"/>
              </w:rPr>
            </w:pPr>
            <w:r>
              <w:rPr>
                <w:rFonts w:hint="eastAsia" w:ascii="仿宋" w:hAnsi="仿宋" w:eastAsia="仿宋"/>
                <w:szCs w:val="21"/>
              </w:rPr>
              <w:t>符合出院/舱标准，离院/舱未满7天（）</w:t>
            </w:r>
          </w:p>
          <w:p>
            <w:pPr>
              <w:spacing w:line="300" w:lineRule="exact"/>
              <w:rPr>
                <w:rFonts w:ascii="仿宋" w:hAnsi="仿宋" w:eastAsia="仿宋"/>
                <w:szCs w:val="21"/>
              </w:rPr>
            </w:pPr>
            <w:r>
              <w:rPr>
                <w:rFonts w:hint="eastAsia" w:ascii="仿宋" w:hAnsi="仿宋" w:eastAsia="仿宋"/>
                <w:szCs w:val="21"/>
              </w:rPr>
              <w:t>符合出院/舱标准，离院/舱满7天未满28天者（）</w:t>
            </w:r>
          </w:p>
          <w:p>
            <w:pPr>
              <w:spacing w:line="300" w:lineRule="exact"/>
              <w:rPr>
                <w:rFonts w:ascii="仿宋" w:hAnsi="仿宋" w:eastAsia="仿宋"/>
                <w:szCs w:val="21"/>
              </w:rPr>
            </w:pPr>
            <w:r>
              <w:rPr>
                <w:rFonts w:hint="eastAsia" w:ascii="仿宋" w:hAnsi="仿宋" w:eastAsia="仿宋"/>
                <w:szCs w:val="21"/>
              </w:rPr>
              <w:t>复阳患者（），如为复阳患者，核酸检测试剂盒临界值为：</w:t>
            </w:r>
            <w:r>
              <w:rPr>
                <w:rFonts w:hint="eastAsia" w:ascii="仿宋" w:hAnsi="仿宋" w:eastAsia="仿宋"/>
                <w:szCs w:val="21"/>
                <w:u w:val="single"/>
              </w:rPr>
              <w:t xml:space="preserve">    </w:t>
            </w:r>
            <w:r>
              <w:rPr>
                <w:rFonts w:hint="eastAsia" w:ascii="仿宋" w:hAnsi="仿宋" w:eastAsia="仿宋"/>
                <w:szCs w:val="21"/>
              </w:rPr>
              <w:t>，CT值为：</w:t>
            </w:r>
            <w:r>
              <w:rPr>
                <w:rFonts w:hint="eastAsia" w:ascii="仿宋" w:hAnsi="仿宋" w:eastAsia="仿宋"/>
                <w:szCs w:val="21"/>
                <w:u w:val="single"/>
              </w:rPr>
              <w:t xml:space="preserve">     </w:t>
            </w:r>
            <w:r>
              <w:rPr>
                <w:rFonts w:hint="eastAsia" w:ascii="仿宋" w:hAnsi="仿宋" w:eastAsia="仿宋"/>
                <w:szCs w:val="21"/>
              </w:rPr>
              <w:t>。</w:t>
            </w:r>
          </w:p>
        </w:tc>
        <w:tc>
          <w:tcPr>
            <w:tcW w:w="1103" w:type="dxa"/>
            <w:vMerge w:val="continue"/>
            <w:vAlign w:val="center"/>
          </w:tcPr>
          <w:p>
            <w:pPr>
              <w:widowControl/>
              <w:spacing w:line="300" w:lineRule="exact"/>
              <w:jc w:val="center"/>
              <w:rPr>
                <w:rFonts w:ascii="仿宋" w:hAnsi="仿宋" w:eastAsia="仿宋"/>
                <w:szCs w:val="21"/>
              </w:rPr>
            </w:pPr>
          </w:p>
        </w:tc>
        <w:tc>
          <w:tcPr>
            <w:tcW w:w="1138" w:type="dxa"/>
            <w:vMerge w:val="continue"/>
            <w:shd w:val="clear" w:color="auto" w:fill="auto"/>
            <w:noWrap/>
            <w:vAlign w:val="center"/>
          </w:tcPr>
          <w:p>
            <w:pPr>
              <w:widowControl/>
              <w:spacing w:line="3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5</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判定为密切接触者或密切接触者的密切接触者：</w:t>
            </w:r>
          </w:p>
        </w:tc>
        <w:tc>
          <w:tcPr>
            <w:tcW w:w="1103" w:type="dxa"/>
            <w:vMerge w:val="restart"/>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vMerge w:val="restart"/>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b/>
                <w:szCs w:val="21"/>
              </w:rPr>
            </w:pPr>
          </w:p>
        </w:tc>
        <w:tc>
          <w:tcPr>
            <w:tcW w:w="6118" w:type="dxa"/>
            <w:tcBorders>
              <w:top w:val="dashSmallGap" w:color="auto" w:sz="4" w:space="0"/>
            </w:tcBorders>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若是，您属于：未满隔离期（）解除集中隔离未满3日（）</w:t>
            </w:r>
          </w:p>
          <w:p>
            <w:pPr>
              <w:spacing w:line="300" w:lineRule="exact"/>
              <w:rPr>
                <w:rFonts w:ascii="仿宋" w:hAnsi="仿宋" w:eastAsia="仿宋"/>
                <w:szCs w:val="21"/>
              </w:rPr>
            </w:pPr>
            <w:r>
              <w:rPr>
                <w:rFonts w:hint="eastAsia" w:ascii="仿宋" w:hAnsi="仿宋" w:eastAsia="仿宋"/>
                <w:szCs w:val="21"/>
              </w:rPr>
              <w:t>解除集中隔离未满7日（）解除居家隔离（）</w:t>
            </w:r>
          </w:p>
        </w:tc>
        <w:tc>
          <w:tcPr>
            <w:tcW w:w="1103" w:type="dxa"/>
            <w:vMerge w:val="continue"/>
            <w:vAlign w:val="center"/>
          </w:tcPr>
          <w:p>
            <w:pPr>
              <w:widowControl/>
              <w:spacing w:line="300" w:lineRule="exact"/>
              <w:jc w:val="center"/>
              <w:rPr>
                <w:rFonts w:ascii="仿宋" w:hAnsi="仿宋" w:eastAsia="仿宋"/>
                <w:szCs w:val="21"/>
              </w:rPr>
            </w:pPr>
          </w:p>
        </w:tc>
        <w:tc>
          <w:tcPr>
            <w:tcW w:w="1138" w:type="dxa"/>
            <w:vMerge w:val="continue"/>
            <w:shd w:val="clear" w:color="auto" w:fill="auto"/>
            <w:noWrap/>
            <w:vAlign w:val="center"/>
          </w:tcPr>
          <w:p>
            <w:pPr>
              <w:widowControl/>
              <w:spacing w:line="3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6</w:t>
            </w:r>
          </w:p>
        </w:tc>
        <w:tc>
          <w:tcPr>
            <w:tcW w:w="6118" w:type="dxa"/>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是否为应隔离管控人员或处于隔离管控期间：</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7</w:t>
            </w:r>
          </w:p>
        </w:tc>
        <w:tc>
          <w:tcPr>
            <w:tcW w:w="6118" w:type="dxa"/>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是否为应居家健康监测人员或处于居家健康监测期间：</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8</w:t>
            </w:r>
          </w:p>
        </w:tc>
        <w:tc>
          <w:tcPr>
            <w:tcW w:w="6118" w:type="dxa"/>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是否为居家健康监测人员的同住人员</w:t>
            </w:r>
            <w:r>
              <w:rPr>
                <w:rFonts w:ascii="仿宋" w:hAnsi="仿宋" w:eastAsia="仿宋"/>
                <w:szCs w:val="21"/>
              </w:rPr>
              <w:t>：</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9</w:t>
            </w:r>
          </w:p>
        </w:tc>
        <w:tc>
          <w:tcPr>
            <w:tcW w:w="6118" w:type="dxa"/>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近7天内是否出现过发热（体温≥37.3℃），呼吸道可疑症状（如干咳、咽痛），乏力，腹泻，新发咽干、咽痒、嗅（味）觉减退等症状者：</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10</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是否为离开风险区域、重点疫情区未满10日的人员：</w:t>
            </w:r>
          </w:p>
        </w:tc>
        <w:tc>
          <w:tcPr>
            <w:tcW w:w="1103" w:type="dxa"/>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ascii="仿宋" w:hAnsi="仿宋" w:eastAsia="仿宋"/>
                <w:b/>
                <w:szCs w:val="21"/>
              </w:rPr>
              <w:t>1</w:t>
            </w:r>
            <w:r>
              <w:rPr>
                <w:rFonts w:hint="eastAsia" w:ascii="仿宋" w:hAnsi="仿宋" w:eastAsia="仿宋"/>
                <w:b/>
                <w:szCs w:val="21"/>
              </w:rPr>
              <w:t>1</w:t>
            </w:r>
          </w:p>
        </w:tc>
        <w:tc>
          <w:tcPr>
            <w:tcW w:w="6118" w:type="dxa"/>
            <w:tcBorders>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健康码是否为黄码或红码：</w:t>
            </w:r>
          </w:p>
        </w:tc>
        <w:tc>
          <w:tcPr>
            <w:tcW w:w="1103" w:type="dxa"/>
            <w:vMerge w:val="restart"/>
            <w:vAlign w:val="center"/>
          </w:tcPr>
          <w:p>
            <w:pPr>
              <w:widowControl/>
              <w:spacing w:line="300" w:lineRule="exact"/>
              <w:jc w:val="center"/>
              <w:rPr>
                <w:rFonts w:ascii="仿宋" w:hAnsi="仿宋" w:eastAsia="仿宋"/>
                <w:szCs w:val="21"/>
              </w:rPr>
            </w:pPr>
            <w:r>
              <w:rPr>
                <w:rFonts w:hint="eastAsia" w:ascii="仿宋" w:hAnsi="仿宋" w:eastAsia="仿宋"/>
                <w:szCs w:val="21"/>
              </w:rPr>
              <w:t>否  □</w:t>
            </w:r>
          </w:p>
        </w:tc>
        <w:tc>
          <w:tcPr>
            <w:tcW w:w="1138" w:type="dxa"/>
            <w:vMerge w:val="restart"/>
            <w:shd w:val="clear" w:color="auto" w:fill="auto"/>
            <w:noWrap/>
            <w:vAlign w:val="center"/>
          </w:tcPr>
          <w:p>
            <w:pPr>
              <w:widowControl/>
              <w:spacing w:line="300" w:lineRule="exact"/>
              <w:jc w:val="center"/>
              <w:rPr>
                <w:rFonts w:ascii="仿宋" w:hAnsi="仿宋" w:eastAsia="仿宋"/>
                <w:szCs w:val="21"/>
              </w:rPr>
            </w:pPr>
            <w:r>
              <w:rPr>
                <w:rFonts w:hint="eastAsia" w:ascii="仿宋" w:hAnsi="仿宋" w:eastAsia="仿宋"/>
                <w:szCs w:val="21"/>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shd w:val="clear" w:color="auto" w:fill="auto"/>
            <w:noWrap/>
            <w:vAlign w:val="center"/>
          </w:tcPr>
          <w:p>
            <w:pPr>
              <w:widowControl/>
              <w:spacing w:line="300" w:lineRule="exact"/>
              <w:jc w:val="center"/>
              <w:rPr>
                <w:rFonts w:ascii="仿宋" w:hAnsi="仿宋" w:eastAsia="仿宋"/>
                <w:szCs w:val="21"/>
              </w:rPr>
            </w:pPr>
          </w:p>
        </w:tc>
        <w:tc>
          <w:tcPr>
            <w:tcW w:w="6118" w:type="dxa"/>
            <w:tcBorders>
              <w:top w:val="nil"/>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若是，您属于：红码（）黄码（）</w:t>
            </w:r>
          </w:p>
        </w:tc>
        <w:tc>
          <w:tcPr>
            <w:tcW w:w="1103" w:type="dxa"/>
            <w:vMerge w:val="continue"/>
            <w:shd w:val="clear" w:color="auto" w:fill="auto"/>
            <w:vAlign w:val="center"/>
          </w:tcPr>
          <w:p>
            <w:pPr>
              <w:widowControl/>
              <w:spacing w:line="300" w:lineRule="exact"/>
              <w:rPr>
                <w:rFonts w:ascii="仿宋" w:hAnsi="仿宋" w:eastAsia="仿宋"/>
                <w:szCs w:val="21"/>
              </w:rPr>
            </w:pPr>
          </w:p>
        </w:tc>
        <w:tc>
          <w:tcPr>
            <w:tcW w:w="1138" w:type="dxa"/>
            <w:vMerge w:val="continue"/>
            <w:shd w:val="clear" w:color="auto" w:fill="auto"/>
            <w:vAlign w:val="center"/>
          </w:tcPr>
          <w:p>
            <w:pPr>
              <w:widowControl/>
              <w:spacing w:line="300" w:lineRule="exac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12</w:t>
            </w:r>
          </w:p>
        </w:tc>
        <w:tc>
          <w:tcPr>
            <w:tcW w:w="6118" w:type="dxa"/>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通信大数据行程卡是否为“非绿卡”：</w:t>
            </w:r>
          </w:p>
        </w:tc>
        <w:tc>
          <w:tcPr>
            <w:tcW w:w="1103" w:type="dxa"/>
            <w:shd w:val="clear" w:color="auto" w:fill="auto"/>
            <w:vAlign w:val="center"/>
          </w:tcPr>
          <w:p>
            <w:pPr>
              <w:spacing w:line="300" w:lineRule="exact"/>
              <w:rPr>
                <w:rFonts w:ascii="仿宋" w:hAnsi="仿宋" w:eastAsia="仿宋"/>
                <w:szCs w:val="21"/>
              </w:rPr>
            </w:pPr>
            <w:r>
              <w:rPr>
                <w:rFonts w:hint="eastAsia" w:ascii="仿宋" w:hAnsi="仿宋" w:eastAsia="仿宋"/>
                <w:szCs w:val="21"/>
              </w:rPr>
              <w:t xml:space="preserve">  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vAlign w:val="center"/>
          </w:tcPr>
          <w:p>
            <w:pPr>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13</w:t>
            </w:r>
          </w:p>
        </w:tc>
        <w:tc>
          <w:tcPr>
            <w:tcW w:w="6118" w:type="dxa"/>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是否为解除集中隔离未满7日的人员：</w:t>
            </w:r>
          </w:p>
        </w:tc>
        <w:tc>
          <w:tcPr>
            <w:tcW w:w="1103" w:type="dxa"/>
            <w:shd w:val="clear" w:color="auto" w:fill="auto"/>
            <w:vAlign w:val="center"/>
          </w:tcPr>
          <w:p>
            <w:pPr>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shd w:val="clear" w:color="auto" w:fill="auto"/>
            <w:vAlign w:val="center"/>
          </w:tcPr>
          <w:p>
            <w:pPr>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14</w:t>
            </w:r>
          </w:p>
        </w:tc>
        <w:tc>
          <w:tcPr>
            <w:tcW w:w="6118" w:type="dxa"/>
            <w:tcBorders>
              <w:bottom w:val="dashSmallGap" w:color="auto" w:sz="4" w:space="0"/>
            </w:tcBorders>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是否为高风险岗位从业人员：</w:t>
            </w:r>
          </w:p>
        </w:tc>
        <w:tc>
          <w:tcPr>
            <w:tcW w:w="1103" w:type="dxa"/>
            <w:vMerge w:val="restart"/>
            <w:shd w:val="clear" w:color="auto" w:fill="auto"/>
            <w:vAlign w:val="center"/>
          </w:tcPr>
          <w:p>
            <w:pPr>
              <w:spacing w:line="300" w:lineRule="exact"/>
              <w:jc w:val="center"/>
              <w:rPr>
                <w:rFonts w:ascii="仿宋" w:hAnsi="仿宋" w:eastAsia="仿宋"/>
                <w:szCs w:val="21"/>
              </w:rPr>
            </w:pPr>
            <w:r>
              <w:rPr>
                <w:rFonts w:hint="eastAsia" w:ascii="仿宋" w:hAnsi="仿宋" w:eastAsia="仿宋"/>
                <w:szCs w:val="21"/>
              </w:rPr>
              <w:t xml:space="preserve">否 </w:t>
            </w:r>
            <w:r>
              <w:rPr>
                <w:rFonts w:ascii="仿宋" w:hAnsi="仿宋" w:eastAsia="仿宋"/>
                <w:szCs w:val="21"/>
              </w:rPr>
              <w:t xml:space="preserve"> </w:t>
            </w:r>
            <w:r>
              <w:rPr>
                <w:rFonts w:hint="eastAsia" w:ascii="仿宋" w:hAnsi="仿宋" w:eastAsia="仿宋"/>
                <w:szCs w:val="21"/>
              </w:rPr>
              <w:t>□</w:t>
            </w:r>
          </w:p>
        </w:tc>
        <w:tc>
          <w:tcPr>
            <w:tcW w:w="1138" w:type="dxa"/>
            <w:vMerge w:val="restart"/>
            <w:shd w:val="clear" w:color="auto" w:fill="auto"/>
            <w:vAlign w:val="center"/>
          </w:tcPr>
          <w:p>
            <w:pPr>
              <w:spacing w:line="300" w:lineRule="exact"/>
              <w:jc w:val="center"/>
              <w:rPr>
                <w:rFonts w:ascii="仿宋" w:hAnsi="仿宋" w:eastAsia="仿宋"/>
                <w:szCs w:val="21"/>
              </w:rPr>
            </w:pPr>
            <w:r>
              <w:rPr>
                <w:rFonts w:hint="eastAsia" w:ascii="仿宋" w:hAnsi="仿宋" w:eastAsia="仿宋"/>
                <w:szCs w:val="21"/>
              </w:rPr>
              <w:t xml:space="preserve">是 </w:t>
            </w:r>
            <w:r>
              <w:rPr>
                <w:rFonts w:ascii="仿宋" w:hAnsi="仿宋" w:eastAsia="仿宋"/>
                <w:szCs w:val="21"/>
              </w:rPr>
              <w:t xml:space="preserve"> </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6" w:type="dxa"/>
            <w:vMerge w:val="continue"/>
            <w:shd w:val="clear" w:color="auto" w:fill="auto"/>
            <w:noWrap/>
            <w:vAlign w:val="center"/>
          </w:tcPr>
          <w:p>
            <w:pPr>
              <w:spacing w:line="300" w:lineRule="exact"/>
              <w:jc w:val="center"/>
              <w:rPr>
                <w:rFonts w:ascii="仿宋" w:hAnsi="仿宋" w:eastAsia="仿宋"/>
                <w:szCs w:val="21"/>
              </w:rPr>
            </w:pPr>
          </w:p>
        </w:tc>
        <w:tc>
          <w:tcPr>
            <w:tcW w:w="6118" w:type="dxa"/>
            <w:tcBorders>
              <w:top w:val="dashSmallGap" w:color="auto" w:sz="4" w:space="0"/>
              <w:bottom w:val="single" w:color="auto" w:sz="4" w:space="0"/>
            </w:tcBorders>
            <w:shd w:val="clear" w:color="auto" w:fill="auto"/>
            <w:noWrap/>
            <w:vAlign w:val="center"/>
          </w:tcPr>
          <w:p>
            <w:pPr>
              <w:spacing w:line="300" w:lineRule="exact"/>
              <w:rPr>
                <w:rFonts w:ascii="仿宋" w:hAnsi="仿宋" w:eastAsia="仿宋"/>
                <w:szCs w:val="21"/>
              </w:rPr>
            </w:pPr>
            <w:r>
              <w:rPr>
                <w:rFonts w:hint="eastAsia" w:ascii="仿宋" w:hAnsi="仿宋" w:eastAsia="仿宋"/>
                <w:szCs w:val="21"/>
              </w:rPr>
              <w:t>若是，您属于：闭环管理期间（）脱离岗位未满7天（）脱离岗位满7天，如脱离岗位满7天需提供解除隔离证明及解除隔离时核酸检测阴性证明。</w:t>
            </w:r>
          </w:p>
        </w:tc>
        <w:tc>
          <w:tcPr>
            <w:tcW w:w="1103" w:type="dxa"/>
            <w:vMerge w:val="continue"/>
            <w:shd w:val="clear" w:color="auto" w:fill="auto"/>
            <w:vAlign w:val="center"/>
          </w:tcPr>
          <w:p>
            <w:pPr>
              <w:spacing w:line="300" w:lineRule="exact"/>
              <w:jc w:val="center"/>
              <w:rPr>
                <w:rFonts w:ascii="仿宋" w:hAnsi="仿宋" w:eastAsia="仿宋"/>
                <w:szCs w:val="21"/>
              </w:rPr>
            </w:pPr>
          </w:p>
        </w:tc>
        <w:tc>
          <w:tcPr>
            <w:tcW w:w="1138" w:type="dxa"/>
            <w:vMerge w:val="continue"/>
            <w:shd w:val="clear" w:color="auto" w:fill="auto"/>
            <w:vAlign w:val="center"/>
          </w:tcPr>
          <w:p>
            <w:pPr>
              <w:spacing w:line="3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shd w:val="clear" w:color="auto" w:fill="auto"/>
            <w:noWrap/>
            <w:vAlign w:val="center"/>
          </w:tcPr>
          <w:p>
            <w:pPr>
              <w:widowControl/>
              <w:spacing w:line="300" w:lineRule="exact"/>
              <w:jc w:val="center"/>
              <w:rPr>
                <w:rFonts w:ascii="仿宋" w:hAnsi="仿宋" w:eastAsia="仿宋"/>
                <w:b/>
                <w:szCs w:val="21"/>
              </w:rPr>
            </w:pPr>
            <w:r>
              <w:rPr>
                <w:rFonts w:hint="eastAsia" w:ascii="仿宋" w:hAnsi="仿宋" w:eastAsia="仿宋"/>
                <w:b/>
                <w:szCs w:val="21"/>
              </w:rPr>
              <w:t>15</w:t>
            </w:r>
          </w:p>
        </w:tc>
        <w:tc>
          <w:tcPr>
            <w:tcW w:w="6118" w:type="dxa"/>
            <w:tcBorders>
              <w:top w:val="single" w:color="auto" w:sz="4" w:space="0"/>
              <w:bottom w:val="dashSmallGap" w:color="auto" w:sz="4" w:space="0"/>
            </w:tcBorders>
            <w:shd w:val="clear" w:color="auto" w:fill="auto"/>
            <w:noWrap/>
            <w:vAlign w:val="center"/>
          </w:tcPr>
          <w:p>
            <w:pPr>
              <w:widowControl/>
              <w:spacing w:line="300" w:lineRule="exact"/>
              <w:rPr>
                <w:rFonts w:ascii="仿宋" w:hAnsi="仿宋" w:eastAsia="仿宋"/>
                <w:szCs w:val="21"/>
              </w:rPr>
            </w:pPr>
            <w:r>
              <w:rPr>
                <w:rFonts w:hint="eastAsia" w:ascii="仿宋" w:hAnsi="仿宋" w:eastAsia="仿宋"/>
                <w:szCs w:val="21"/>
              </w:rPr>
              <w:t>是否已全程接种新冠病毒疫苗：</w:t>
            </w:r>
          </w:p>
        </w:tc>
        <w:tc>
          <w:tcPr>
            <w:tcW w:w="1103" w:type="dxa"/>
            <w:shd w:val="clear" w:color="auto" w:fill="auto"/>
            <w:vAlign w:val="center"/>
          </w:tcPr>
          <w:p>
            <w:pPr>
              <w:widowControl/>
              <w:spacing w:line="300" w:lineRule="exact"/>
              <w:jc w:val="center"/>
              <w:rPr>
                <w:rFonts w:ascii="仿宋" w:hAnsi="仿宋" w:eastAsia="仿宋"/>
                <w:szCs w:val="21"/>
              </w:rPr>
            </w:pPr>
            <w:r>
              <w:rPr>
                <w:rFonts w:hint="eastAsia" w:ascii="仿宋" w:hAnsi="仿宋" w:eastAsia="仿宋"/>
                <w:szCs w:val="21"/>
              </w:rPr>
              <w:t>已接种□</w:t>
            </w:r>
          </w:p>
        </w:tc>
        <w:tc>
          <w:tcPr>
            <w:tcW w:w="1138" w:type="dxa"/>
            <w:shd w:val="clear" w:color="auto" w:fill="auto"/>
            <w:vAlign w:val="center"/>
          </w:tcPr>
          <w:p>
            <w:pPr>
              <w:widowControl/>
              <w:spacing w:line="300" w:lineRule="exact"/>
              <w:jc w:val="center"/>
              <w:rPr>
                <w:rFonts w:ascii="仿宋" w:hAnsi="仿宋" w:eastAsia="仿宋"/>
                <w:szCs w:val="21"/>
              </w:rPr>
            </w:pPr>
            <w:r>
              <w:rPr>
                <w:rFonts w:hint="eastAsia" w:ascii="仿宋" w:hAnsi="仿宋" w:eastAsia="仿宋"/>
                <w:szCs w:val="21"/>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Pr>
          <w:p>
            <w:pPr>
              <w:spacing w:line="300" w:lineRule="exact"/>
              <w:jc w:val="center"/>
              <w:rPr>
                <w:rFonts w:ascii="仿宋" w:hAnsi="仿宋" w:eastAsia="仿宋"/>
                <w:szCs w:val="21"/>
              </w:rPr>
            </w:pPr>
          </w:p>
        </w:tc>
        <w:tc>
          <w:tcPr>
            <w:tcW w:w="6118" w:type="dxa"/>
            <w:tcBorders>
              <w:top w:val="dashSmallGap" w:color="auto" w:sz="4" w:space="0"/>
            </w:tcBorders>
            <w:vAlign w:val="center"/>
          </w:tcPr>
          <w:p>
            <w:pPr>
              <w:widowControl/>
              <w:spacing w:line="300" w:lineRule="exact"/>
              <w:rPr>
                <w:rFonts w:ascii="仿宋" w:hAnsi="仿宋" w:eastAsia="仿宋"/>
                <w:szCs w:val="21"/>
              </w:rPr>
            </w:pPr>
            <w:r>
              <w:rPr>
                <w:rFonts w:hint="eastAsia" w:ascii="仿宋" w:hAnsi="仿宋" w:eastAsia="仿宋"/>
                <w:szCs w:val="21"/>
              </w:rPr>
              <w:t>如果未完成疫苗接种，原因：</w:t>
            </w:r>
          </w:p>
        </w:tc>
        <w:tc>
          <w:tcPr>
            <w:tcW w:w="1103" w:type="dxa"/>
          </w:tcPr>
          <w:p>
            <w:pPr>
              <w:spacing w:line="300" w:lineRule="exact"/>
              <w:jc w:val="center"/>
              <w:rPr>
                <w:rFonts w:ascii="仿宋" w:hAnsi="仿宋" w:eastAsia="仿宋"/>
                <w:szCs w:val="21"/>
              </w:rPr>
            </w:pPr>
          </w:p>
        </w:tc>
        <w:tc>
          <w:tcPr>
            <w:tcW w:w="1138" w:type="dxa"/>
          </w:tcPr>
          <w:p>
            <w:pPr>
              <w:spacing w:line="300" w:lineRule="exact"/>
              <w:jc w:val="center"/>
              <w:rPr>
                <w:rFonts w:ascii="仿宋" w:hAnsi="仿宋" w:eastAsia="仿宋"/>
                <w:szCs w:val="21"/>
              </w:rPr>
            </w:pPr>
          </w:p>
        </w:tc>
      </w:tr>
    </w:tbl>
    <w:p>
      <w:pPr>
        <w:widowControl/>
        <w:spacing w:before="156" w:beforeLines="50" w:line="300" w:lineRule="exact"/>
        <w:jc w:val="left"/>
        <w:rPr>
          <w:rFonts w:ascii="楷体" w:hAnsi="楷体" w:eastAsia="楷体"/>
          <w:b/>
          <w:bCs/>
          <w:sz w:val="28"/>
          <w:szCs w:val="28"/>
        </w:rPr>
      </w:pPr>
      <w:r>
        <w:rPr>
          <w:rFonts w:ascii="楷体" w:hAnsi="楷体" w:eastAsia="楷体"/>
          <w:b/>
          <w:bCs/>
          <w:sz w:val="28"/>
          <w:szCs w:val="28"/>
        </w:rPr>
        <w:t>本人确认以上情况属实。</w:t>
      </w:r>
      <w:r>
        <w:rPr>
          <w:rFonts w:hint="eastAsia" w:ascii="楷体" w:hAnsi="楷体" w:eastAsia="楷体"/>
          <w:b/>
          <w:bCs/>
          <w:sz w:val="28"/>
          <w:szCs w:val="28"/>
        </w:rPr>
        <w:t xml:space="preserve">          </w:t>
      </w:r>
      <w:r>
        <w:rPr>
          <w:rFonts w:ascii="楷体" w:hAnsi="楷体" w:eastAsia="楷体"/>
          <w:b/>
          <w:bCs/>
          <w:sz w:val="28"/>
          <w:szCs w:val="28"/>
        </w:rPr>
        <w:t>签字：</w:t>
      </w:r>
    </w:p>
    <w:p>
      <w:pPr>
        <w:widowControl/>
        <w:spacing w:before="156" w:beforeLines="50" w:line="300" w:lineRule="exact"/>
        <w:jc w:val="left"/>
        <w:rPr>
          <w:rFonts w:ascii="楷体" w:hAnsi="楷体" w:eastAsia="楷体"/>
          <w:b/>
          <w:bCs/>
          <w:szCs w:val="21"/>
        </w:rPr>
      </w:pPr>
      <w:r>
        <w:rPr>
          <w:rFonts w:hint="eastAsia" w:ascii="楷体" w:hAnsi="楷体" w:eastAsia="楷体"/>
          <w:b/>
          <w:bCs/>
          <w:sz w:val="28"/>
          <w:szCs w:val="28"/>
        </w:rPr>
        <w:t>备注：每场考试入场时，须将此卡交考点工作人员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lmMDc2YzY2MTFhODc4OTNlODYyZGQ0MjJlOGNhODEifQ=="/>
  </w:docVars>
  <w:rsids>
    <w:rsidRoot w:val="00FE3870"/>
    <w:rsid w:val="000601ED"/>
    <w:rsid w:val="003930DA"/>
    <w:rsid w:val="0054728A"/>
    <w:rsid w:val="00677616"/>
    <w:rsid w:val="00725E96"/>
    <w:rsid w:val="007C20C2"/>
    <w:rsid w:val="008C626B"/>
    <w:rsid w:val="009B76D0"/>
    <w:rsid w:val="009E22D0"/>
    <w:rsid w:val="00B06EFA"/>
    <w:rsid w:val="00B22F4D"/>
    <w:rsid w:val="00B947CB"/>
    <w:rsid w:val="00BC66B2"/>
    <w:rsid w:val="00C21DB9"/>
    <w:rsid w:val="00D0732F"/>
    <w:rsid w:val="00D86D33"/>
    <w:rsid w:val="00D87E2A"/>
    <w:rsid w:val="00DD33D3"/>
    <w:rsid w:val="00E20DA6"/>
    <w:rsid w:val="00FE3870"/>
    <w:rsid w:val="6C87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Pages>
  <Words>3812</Words>
  <Characters>3960</Characters>
  <Lines>31</Lines>
  <Paragraphs>8</Paragraphs>
  <TotalTime>118</TotalTime>
  <ScaleCrop>false</ScaleCrop>
  <LinksUpToDate>false</LinksUpToDate>
  <CharactersWithSpaces>4237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2022-10-21T11:26:00Z</dcterms:created>
  <dc:creator>微软用户</dc:creator>
  <cp:lastModifiedBy>路桂萍Michelle, Himin Solar</cp:lastModifiedBy>
  <dcterms:modified xsi:type="dcterms:W3CDTF">2022-10-22T00:42:33Z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AE06404C4A2E46F5B0C27CC94696370F</vt:lpwstr>
  </property>
</Properties>
</file>