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A33FD">
      <w:pPr>
        <w:pStyle w:val="3"/>
        <w:spacing w:before="65"/>
        <w:ind w:left="0"/>
        <w:jc w:val="both"/>
        <w:rPr>
          <w:rFonts w:hint="eastAsia" w:ascii="黑体" w:hAnsi="黑体" w:eastAsia="黑体" w:cs="黑体"/>
          <w:color w:val="auto"/>
          <w:lang w:val="en-US" w:eastAsia="zh-CN"/>
        </w:rPr>
      </w:pPr>
      <w:r>
        <w:rPr>
          <w:rFonts w:hint="eastAsia" w:ascii="黑体" w:hAnsi="黑体" w:eastAsia="黑体" w:cs="黑体"/>
          <w:color w:val="auto"/>
        </w:rPr>
        <w:t>附件</w:t>
      </w:r>
      <w:r>
        <w:rPr>
          <w:rFonts w:hint="eastAsia" w:ascii="黑体" w:hAnsi="黑体" w:eastAsia="黑体" w:cs="黑体"/>
          <w:color w:val="auto"/>
          <w:lang w:val="en-US" w:eastAsia="zh-CN"/>
        </w:rPr>
        <w:t>3</w:t>
      </w:r>
    </w:p>
    <w:p w14:paraId="4781CD3D">
      <w:pPr>
        <w:pStyle w:val="2"/>
        <w:keepNext w:val="0"/>
        <w:keepLines w:val="0"/>
        <w:pageBreakBefore w:val="0"/>
        <w:widowControl w:val="0"/>
        <w:kinsoku/>
        <w:wordWrap/>
        <w:overflowPunct/>
        <w:topLinePunct w:val="0"/>
        <w:autoSpaceDE/>
        <w:autoSpaceDN/>
        <w:bidi w:val="0"/>
        <w:adjustRightInd/>
        <w:snapToGrid/>
        <w:spacing w:before="0" w:line="640" w:lineRule="exact"/>
        <w:ind w:left="0" w:right="0" w:firstLine="0"/>
        <w:jc w:val="center"/>
        <w:textAlignment w:val="auto"/>
        <w:rPr>
          <w:rFonts w:hint="eastAsia" w:ascii="方正小标宋简体" w:hAnsi="黑体" w:eastAsia="方正小标宋简体" w:cs="宋体"/>
          <w:bCs/>
          <w:color w:val="auto"/>
          <w:sz w:val="36"/>
          <w:szCs w:val="36"/>
          <w:lang w:eastAsia="zh-CN"/>
        </w:rPr>
      </w:pPr>
      <w:r>
        <w:rPr>
          <w:rFonts w:hint="eastAsia" w:ascii="方正小标宋简体" w:hAnsi="黑体" w:eastAsia="方正小标宋简体" w:cs="宋体"/>
          <w:bCs/>
          <w:color w:val="auto"/>
          <w:sz w:val="36"/>
          <w:szCs w:val="36"/>
          <w:lang w:eastAsia="zh-CN"/>
        </w:rPr>
        <w:t>首届京津冀蒙本科高校课程思政教学比赛校内选拔赛暨2025年天津财经大学珠江学院课程思政教学比赛</w:t>
      </w:r>
    </w:p>
    <w:p w14:paraId="5FC49E0A">
      <w:pPr>
        <w:pStyle w:val="2"/>
        <w:keepNext w:val="0"/>
        <w:keepLines w:val="0"/>
        <w:pageBreakBefore w:val="0"/>
        <w:widowControl w:val="0"/>
        <w:kinsoku/>
        <w:wordWrap/>
        <w:overflowPunct/>
        <w:topLinePunct w:val="0"/>
        <w:autoSpaceDE/>
        <w:autoSpaceDN/>
        <w:bidi w:val="0"/>
        <w:adjustRightInd/>
        <w:snapToGrid/>
        <w:spacing w:before="0" w:line="640" w:lineRule="exact"/>
        <w:ind w:left="0" w:right="0" w:firstLine="0"/>
        <w:jc w:val="center"/>
        <w:textAlignment w:val="auto"/>
        <w:rPr>
          <w:rFonts w:hint="eastAsia" w:ascii="方正小标宋简体" w:hAnsi="黑体" w:eastAsia="方正小标宋简体" w:cs="宋体"/>
          <w:bCs/>
          <w:color w:val="auto"/>
          <w:sz w:val="36"/>
          <w:szCs w:val="36"/>
        </w:rPr>
      </w:pPr>
      <w:bookmarkStart w:id="0" w:name="_GoBack"/>
      <w:bookmarkEnd w:id="0"/>
      <w:r>
        <w:rPr>
          <w:rFonts w:hint="eastAsia" w:ascii="方正小标宋简体" w:hAnsi="黑体" w:eastAsia="方正小标宋简体" w:cs="宋体"/>
          <w:bCs/>
          <w:color w:val="auto"/>
          <w:sz w:val="36"/>
          <w:szCs w:val="36"/>
        </w:rPr>
        <w:t>评分标准表</w:t>
      </w:r>
    </w:p>
    <w:p w14:paraId="37159DD1">
      <w:pPr>
        <w:pStyle w:val="3"/>
        <w:spacing w:line="600" w:lineRule="exact"/>
        <w:jc w:val="both"/>
        <w:rPr>
          <w:rFonts w:ascii="楷体" w:hAnsi="楷体" w:eastAsia="楷体" w:cs="楷体"/>
          <w:color w:val="auto"/>
        </w:rPr>
      </w:pPr>
      <w:r>
        <w:rPr>
          <w:rFonts w:hint="eastAsia" w:ascii="楷体" w:hAnsi="楷体" w:eastAsia="楷体" w:cs="楷体"/>
          <w:color w:val="auto"/>
        </w:rPr>
        <w:t>（一）课堂教学设计作品评分标准（100分）</w:t>
      </w:r>
    </w:p>
    <w:tbl>
      <w:tblPr>
        <w:tblStyle w:val="5"/>
        <w:tblW w:w="8740"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0"/>
        <w:gridCol w:w="6331"/>
        <w:gridCol w:w="1109"/>
      </w:tblGrid>
      <w:tr w14:paraId="4FE73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300" w:type="dxa"/>
            <w:noWrap w:val="0"/>
            <w:vAlign w:val="center"/>
          </w:tcPr>
          <w:p w14:paraId="63115223">
            <w:pPr>
              <w:pStyle w:val="7"/>
              <w:spacing w:line="360" w:lineRule="exact"/>
              <w:jc w:val="center"/>
              <w:rPr>
                <w:b/>
                <w:color w:val="auto"/>
                <w:sz w:val="21"/>
                <w:szCs w:val="21"/>
              </w:rPr>
            </w:pPr>
            <w:r>
              <w:rPr>
                <w:rFonts w:hint="eastAsia"/>
                <w:b/>
                <w:color w:val="auto"/>
                <w:sz w:val="21"/>
                <w:szCs w:val="21"/>
              </w:rPr>
              <w:t>评价指标</w:t>
            </w:r>
          </w:p>
        </w:tc>
        <w:tc>
          <w:tcPr>
            <w:tcW w:w="6331" w:type="dxa"/>
            <w:noWrap w:val="0"/>
            <w:vAlign w:val="center"/>
          </w:tcPr>
          <w:p w14:paraId="7B3AE820">
            <w:pPr>
              <w:pStyle w:val="7"/>
              <w:spacing w:line="360" w:lineRule="exact"/>
              <w:jc w:val="center"/>
              <w:rPr>
                <w:b/>
                <w:color w:val="auto"/>
                <w:sz w:val="24"/>
              </w:rPr>
            </w:pPr>
            <w:r>
              <w:rPr>
                <w:rFonts w:hint="eastAsia"/>
                <w:b/>
                <w:color w:val="auto"/>
                <w:sz w:val="24"/>
              </w:rPr>
              <w:t>具体内容</w:t>
            </w:r>
          </w:p>
        </w:tc>
        <w:tc>
          <w:tcPr>
            <w:tcW w:w="1109" w:type="dxa"/>
            <w:noWrap w:val="0"/>
            <w:vAlign w:val="center"/>
          </w:tcPr>
          <w:p w14:paraId="52E7538F">
            <w:pPr>
              <w:pStyle w:val="7"/>
              <w:spacing w:line="360" w:lineRule="exact"/>
              <w:jc w:val="center"/>
              <w:rPr>
                <w:b/>
                <w:color w:val="auto"/>
                <w:sz w:val="24"/>
              </w:rPr>
            </w:pPr>
            <w:r>
              <w:rPr>
                <w:rFonts w:hint="eastAsia"/>
                <w:b/>
                <w:color w:val="auto"/>
                <w:sz w:val="24"/>
              </w:rPr>
              <w:t>分值</w:t>
            </w:r>
          </w:p>
        </w:tc>
      </w:tr>
      <w:tr w14:paraId="7BA3D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1300" w:type="dxa"/>
            <w:noWrap w:val="0"/>
            <w:vAlign w:val="center"/>
          </w:tcPr>
          <w:p w14:paraId="6744C934">
            <w:pPr>
              <w:pStyle w:val="7"/>
              <w:spacing w:line="360" w:lineRule="exact"/>
              <w:jc w:val="center"/>
              <w:rPr>
                <w:b/>
                <w:bCs/>
                <w:color w:val="auto"/>
                <w:sz w:val="21"/>
                <w:szCs w:val="21"/>
              </w:rPr>
            </w:pPr>
            <w:r>
              <w:rPr>
                <w:rFonts w:hint="eastAsia"/>
                <w:b/>
                <w:bCs/>
                <w:color w:val="auto"/>
                <w:sz w:val="21"/>
                <w:szCs w:val="21"/>
              </w:rPr>
              <w:t>教学内容</w:t>
            </w:r>
          </w:p>
        </w:tc>
        <w:tc>
          <w:tcPr>
            <w:tcW w:w="6331" w:type="dxa"/>
            <w:noWrap w:val="0"/>
            <w:vAlign w:val="center"/>
          </w:tcPr>
          <w:p w14:paraId="2B5DB7E8">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教学信息量充足，符合学生认知规律，具有较好的高阶性、创新性和一定挑战度。运用思想政治理论教育的学科思维处理教材，组织教学内容，融入政治认同、家国情怀、文化素养、宪法法治意识、道德修养等要素，潜移默化地对学生思想意识、行为举止产生积极影响，实现价值塑造。知识传授和能力培养相融合，教书与育人相统一。</w:t>
            </w:r>
          </w:p>
        </w:tc>
        <w:tc>
          <w:tcPr>
            <w:tcW w:w="1109" w:type="dxa"/>
            <w:noWrap w:val="0"/>
            <w:vAlign w:val="center"/>
          </w:tcPr>
          <w:p w14:paraId="6AE40B88">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40</w:t>
            </w:r>
          </w:p>
        </w:tc>
      </w:tr>
      <w:tr w14:paraId="7521D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300" w:type="dxa"/>
            <w:noWrap w:val="0"/>
            <w:vAlign w:val="center"/>
          </w:tcPr>
          <w:p w14:paraId="1AFA8FD0">
            <w:pPr>
              <w:pStyle w:val="7"/>
              <w:spacing w:line="360" w:lineRule="exact"/>
              <w:jc w:val="center"/>
              <w:rPr>
                <w:b/>
                <w:bCs/>
                <w:color w:val="auto"/>
                <w:sz w:val="21"/>
                <w:szCs w:val="21"/>
              </w:rPr>
            </w:pPr>
            <w:r>
              <w:rPr>
                <w:rFonts w:hint="eastAsia"/>
                <w:b/>
                <w:bCs/>
                <w:color w:val="auto"/>
                <w:sz w:val="21"/>
                <w:szCs w:val="21"/>
              </w:rPr>
              <w:t>教学方法</w:t>
            </w:r>
          </w:p>
          <w:p w14:paraId="73C6AEF9">
            <w:pPr>
              <w:pStyle w:val="7"/>
              <w:spacing w:line="360" w:lineRule="exact"/>
              <w:jc w:val="center"/>
              <w:rPr>
                <w:b/>
                <w:bCs/>
                <w:color w:val="auto"/>
                <w:sz w:val="21"/>
                <w:szCs w:val="21"/>
              </w:rPr>
            </w:pPr>
            <w:r>
              <w:rPr>
                <w:rFonts w:hint="eastAsia"/>
                <w:b/>
                <w:bCs/>
                <w:color w:val="auto"/>
                <w:sz w:val="21"/>
                <w:szCs w:val="21"/>
              </w:rPr>
              <w:t>与手段</w:t>
            </w:r>
          </w:p>
        </w:tc>
        <w:tc>
          <w:tcPr>
            <w:tcW w:w="6331" w:type="dxa"/>
            <w:noWrap w:val="0"/>
            <w:vAlign w:val="center"/>
          </w:tcPr>
          <w:p w14:paraId="6EAD2B0B">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讲授、讨论、探究、项目、案例、实验等教学方法恰当使用，多媒体、虚拟仿真、计算机网络等教学手段有效运用。</w:t>
            </w:r>
          </w:p>
        </w:tc>
        <w:tc>
          <w:tcPr>
            <w:tcW w:w="1109" w:type="dxa"/>
            <w:noWrap w:val="0"/>
            <w:vAlign w:val="center"/>
          </w:tcPr>
          <w:p w14:paraId="29BD714F">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20</w:t>
            </w:r>
          </w:p>
        </w:tc>
      </w:tr>
      <w:tr w14:paraId="38BE1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1300" w:type="dxa"/>
            <w:noWrap w:val="0"/>
            <w:vAlign w:val="center"/>
          </w:tcPr>
          <w:p w14:paraId="3C839073">
            <w:pPr>
              <w:pStyle w:val="7"/>
              <w:spacing w:line="360" w:lineRule="exact"/>
              <w:jc w:val="center"/>
              <w:rPr>
                <w:b/>
                <w:bCs/>
                <w:color w:val="auto"/>
                <w:sz w:val="21"/>
                <w:szCs w:val="21"/>
              </w:rPr>
            </w:pPr>
            <w:r>
              <w:rPr>
                <w:rFonts w:hint="eastAsia"/>
                <w:b/>
                <w:bCs/>
                <w:color w:val="auto"/>
                <w:sz w:val="21"/>
                <w:szCs w:val="21"/>
              </w:rPr>
              <w:t>教学目标</w:t>
            </w:r>
          </w:p>
        </w:tc>
        <w:tc>
          <w:tcPr>
            <w:tcW w:w="6331" w:type="dxa"/>
            <w:noWrap w:val="0"/>
            <w:vAlign w:val="center"/>
          </w:tcPr>
          <w:p w14:paraId="17DC0A58">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目标设计恰当，符合课程要求、学科特点和学生实际；</w:t>
            </w:r>
            <w:r>
              <w:rPr>
                <w:rFonts w:hint="eastAsia" w:ascii="仿宋" w:hAnsi="仿宋" w:eastAsia="仿宋" w:cs="仿宋"/>
                <w:color w:val="auto"/>
                <w:sz w:val="24"/>
                <w:lang w:val="en-US"/>
              </w:rPr>
              <w:t>目标</w:t>
            </w:r>
            <w:r>
              <w:rPr>
                <w:rFonts w:hint="eastAsia" w:ascii="仿宋" w:hAnsi="仿宋" w:eastAsia="仿宋" w:cs="仿宋"/>
                <w:color w:val="auto"/>
                <w:sz w:val="24"/>
              </w:rPr>
              <w:t>具体、可观察、可测评、可达成；思政目标无缝对接知识、能力目标。</w:t>
            </w:r>
          </w:p>
        </w:tc>
        <w:tc>
          <w:tcPr>
            <w:tcW w:w="1109" w:type="dxa"/>
            <w:noWrap w:val="0"/>
            <w:vAlign w:val="center"/>
          </w:tcPr>
          <w:p w14:paraId="07AA8FB0">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10</w:t>
            </w:r>
          </w:p>
        </w:tc>
      </w:tr>
      <w:tr w14:paraId="640BB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300" w:type="dxa"/>
            <w:noWrap w:val="0"/>
            <w:vAlign w:val="center"/>
          </w:tcPr>
          <w:p w14:paraId="7269C806">
            <w:pPr>
              <w:pStyle w:val="7"/>
              <w:spacing w:line="360" w:lineRule="exact"/>
              <w:jc w:val="center"/>
              <w:rPr>
                <w:b/>
                <w:bCs/>
                <w:color w:val="auto"/>
                <w:sz w:val="21"/>
                <w:szCs w:val="21"/>
              </w:rPr>
            </w:pPr>
            <w:r>
              <w:rPr>
                <w:rFonts w:hint="eastAsia"/>
                <w:b/>
                <w:bCs/>
                <w:color w:val="auto"/>
                <w:sz w:val="21"/>
                <w:szCs w:val="21"/>
              </w:rPr>
              <w:t>教学评价</w:t>
            </w:r>
          </w:p>
        </w:tc>
        <w:tc>
          <w:tcPr>
            <w:tcW w:w="6331" w:type="dxa"/>
            <w:noWrap w:val="0"/>
            <w:vAlign w:val="center"/>
          </w:tcPr>
          <w:p w14:paraId="5D29BD11">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评价主体多元；注重过程；提问、课堂观察、作业、问卷、访谈等评价方法恰当，引导、激励学生学习。</w:t>
            </w:r>
          </w:p>
        </w:tc>
        <w:tc>
          <w:tcPr>
            <w:tcW w:w="1109" w:type="dxa"/>
            <w:noWrap w:val="0"/>
            <w:vAlign w:val="center"/>
          </w:tcPr>
          <w:p w14:paraId="37CD6375">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5</w:t>
            </w:r>
          </w:p>
        </w:tc>
      </w:tr>
      <w:tr w14:paraId="4AFAB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300" w:type="dxa"/>
            <w:noWrap w:val="0"/>
            <w:vAlign w:val="center"/>
          </w:tcPr>
          <w:p w14:paraId="60B27003">
            <w:pPr>
              <w:pStyle w:val="7"/>
              <w:spacing w:line="360" w:lineRule="exact"/>
              <w:jc w:val="center"/>
              <w:rPr>
                <w:b/>
                <w:bCs/>
                <w:color w:val="auto"/>
                <w:sz w:val="21"/>
                <w:szCs w:val="21"/>
              </w:rPr>
            </w:pPr>
            <w:r>
              <w:rPr>
                <w:rFonts w:hint="eastAsia"/>
                <w:b/>
                <w:bCs/>
                <w:color w:val="auto"/>
                <w:sz w:val="21"/>
                <w:szCs w:val="21"/>
              </w:rPr>
              <w:t>教学反思</w:t>
            </w:r>
          </w:p>
        </w:tc>
        <w:tc>
          <w:tcPr>
            <w:tcW w:w="6331" w:type="dxa"/>
            <w:noWrap w:val="0"/>
            <w:vAlign w:val="center"/>
          </w:tcPr>
          <w:p w14:paraId="23D3DFF0">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能够对教学内容（包含课程思政内容）和</w:t>
            </w:r>
            <w:r>
              <w:rPr>
                <w:rFonts w:hint="eastAsia" w:ascii="仿宋" w:hAnsi="仿宋" w:eastAsia="仿宋" w:cs="仿宋"/>
                <w:color w:val="auto"/>
                <w:sz w:val="24"/>
                <w:lang w:val="en-US"/>
              </w:rPr>
              <w:t>教学</w:t>
            </w:r>
            <w:r>
              <w:rPr>
                <w:rFonts w:hint="eastAsia" w:ascii="仿宋" w:hAnsi="仿宋" w:eastAsia="仿宋" w:cs="仿宋"/>
                <w:color w:val="auto"/>
                <w:sz w:val="24"/>
              </w:rPr>
              <w:t>过程进行梳理和反思，并做到适时调整，能够提出改进教学的方法。</w:t>
            </w:r>
          </w:p>
        </w:tc>
        <w:tc>
          <w:tcPr>
            <w:tcW w:w="1109" w:type="dxa"/>
            <w:noWrap w:val="0"/>
            <w:vAlign w:val="center"/>
          </w:tcPr>
          <w:p w14:paraId="06410769">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5</w:t>
            </w:r>
          </w:p>
        </w:tc>
      </w:tr>
      <w:tr w14:paraId="5D841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1300" w:type="dxa"/>
            <w:noWrap w:val="0"/>
            <w:vAlign w:val="center"/>
          </w:tcPr>
          <w:p w14:paraId="435E3941">
            <w:pPr>
              <w:pStyle w:val="7"/>
              <w:spacing w:line="360" w:lineRule="exact"/>
              <w:jc w:val="center"/>
              <w:rPr>
                <w:b/>
                <w:bCs/>
                <w:color w:val="auto"/>
                <w:sz w:val="21"/>
                <w:szCs w:val="21"/>
              </w:rPr>
            </w:pPr>
            <w:r>
              <w:rPr>
                <w:rFonts w:hint="eastAsia"/>
                <w:b/>
                <w:bCs/>
                <w:color w:val="auto"/>
                <w:sz w:val="21"/>
                <w:szCs w:val="21"/>
              </w:rPr>
              <w:t>教材分析</w:t>
            </w:r>
          </w:p>
        </w:tc>
        <w:tc>
          <w:tcPr>
            <w:tcW w:w="6331" w:type="dxa"/>
            <w:noWrap w:val="0"/>
            <w:vAlign w:val="center"/>
          </w:tcPr>
          <w:p w14:paraId="5AF703B1">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对本设计涉及到的教材内容及其作用作简明扼要分析，为教学思路、重难点等内容的确定提供依据。</w:t>
            </w:r>
          </w:p>
        </w:tc>
        <w:tc>
          <w:tcPr>
            <w:tcW w:w="1109" w:type="dxa"/>
            <w:noWrap w:val="0"/>
            <w:vAlign w:val="center"/>
          </w:tcPr>
          <w:p w14:paraId="49B2ADB2">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5</w:t>
            </w:r>
          </w:p>
        </w:tc>
      </w:tr>
      <w:tr w14:paraId="5A6D0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300" w:type="dxa"/>
            <w:noWrap w:val="0"/>
            <w:vAlign w:val="center"/>
          </w:tcPr>
          <w:p w14:paraId="20468005">
            <w:pPr>
              <w:pStyle w:val="7"/>
              <w:spacing w:line="360" w:lineRule="exact"/>
              <w:jc w:val="center"/>
              <w:rPr>
                <w:b/>
                <w:bCs/>
                <w:color w:val="auto"/>
                <w:sz w:val="21"/>
                <w:szCs w:val="21"/>
              </w:rPr>
            </w:pPr>
            <w:r>
              <w:rPr>
                <w:rFonts w:hint="eastAsia"/>
                <w:b/>
                <w:bCs/>
                <w:color w:val="auto"/>
                <w:sz w:val="21"/>
                <w:szCs w:val="21"/>
              </w:rPr>
              <w:t>学情分析</w:t>
            </w:r>
          </w:p>
        </w:tc>
        <w:tc>
          <w:tcPr>
            <w:tcW w:w="6331" w:type="dxa"/>
            <w:noWrap w:val="0"/>
            <w:vAlign w:val="center"/>
          </w:tcPr>
          <w:p w14:paraId="47986623">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对学生学科知识、认知特征和情感态度等内容进行精准分析。</w:t>
            </w:r>
          </w:p>
        </w:tc>
        <w:tc>
          <w:tcPr>
            <w:tcW w:w="1109" w:type="dxa"/>
            <w:noWrap w:val="0"/>
            <w:vAlign w:val="center"/>
          </w:tcPr>
          <w:p w14:paraId="43B53544">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5</w:t>
            </w:r>
          </w:p>
        </w:tc>
      </w:tr>
      <w:tr w14:paraId="03939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300" w:type="dxa"/>
            <w:noWrap w:val="0"/>
            <w:vAlign w:val="center"/>
          </w:tcPr>
          <w:p w14:paraId="3E777C89">
            <w:pPr>
              <w:pStyle w:val="7"/>
              <w:spacing w:line="360" w:lineRule="exact"/>
              <w:jc w:val="center"/>
              <w:rPr>
                <w:b/>
                <w:bCs/>
                <w:color w:val="auto"/>
                <w:sz w:val="21"/>
                <w:szCs w:val="21"/>
              </w:rPr>
            </w:pPr>
            <w:r>
              <w:rPr>
                <w:rFonts w:hint="eastAsia"/>
                <w:b/>
                <w:bCs/>
                <w:color w:val="auto"/>
                <w:sz w:val="21"/>
                <w:szCs w:val="21"/>
              </w:rPr>
              <w:t>自主学习</w:t>
            </w:r>
          </w:p>
        </w:tc>
        <w:tc>
          <w:tcPr>
            <w:tcW w:w="6331" w:type="dxa"/>
            <w:noWrap w:val="0"/>
            <w:vAlign w:val="center"/>
          </w:tcPr>
          <w:p w14:paraId="052501E8">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为学生搭建课外学习平台，引导学生进行自主学习和自主评价。</w:t>
            </w:r>
          </w:p>
        </w:tc>
        <w:tc>
          <w:tcPr>
            <w:tcW w:w="1109" w:type="dxa"/>
            <w:noWrap w:val="0"/>
            <w:vAlign w:val="center"/>
          </w:tcPr>
          <w:p w14:paraId="7670CE0A">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5</w:t>
            </w:r>
          </w:p>
        </w:tc>
      </w:tr>
      <w:tr w14:paraId="66514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300" w:type="dxa"/>
            <w:noWrap w:val="0"/>
            <w:vAlign w:val="center"/>
          </w:tcPr>
          <w:p w14:paraId="62D4396E">
            <w:pPr>
              <w:pStyle w:val="7"/>
              <w:spacing w:line="360" w:lineRule="exact"/>
              <w:jc w:val="center"/>
              <w:rPr>
                <w:b/>
                <w:bCs/>
                <w:color w:val="auto"/>
                <w:sz w:val="21"/>
                <w:szCs w:val="21"/>
              </w:rPr>
            </w:pPr>
            <w:r>
              <w:rPr>
                <w:rFonts w:hint="eastAsia"/>
                <w:b/>
                <w:bCs/>
                <w:color w:val="auto"/>
                <w:sz w:val="21"/>
                <w:szCs w:val="21"/>
              </w:rPr>
              <w:t>教学资源</w:t>
            </w:r>
          </w:p>
        </w:tc>
        <w:tc>
          <w:tcPr>
            <w:tcW w:w="6331" w:type="dxa"/>
            <w:noWrap w:val="0"/>
            <w:vAlign w:val="center"/>
          </w:tcPr>
          <w:p w14:paraId="45CE2631">
            <w:pPr>
              <w:pStyle w:val="7"/>
              <w:spacing w:line="360" w:lineRule="exact"/>
              <w:jc w:val="both"/>
              <w:rPr>
                <w:rFonts w:ascii="仿宋" w:hAnsi="仿宋" w:eastAsia="仿宋" w:cs="仿宋"/>
                <w:color w:val="auto"/>
                <w:sz w:val="24"/>
                <w:lang w:val="en-US"/>
              </w:rPr>
            </w:pPr>
            <w:r>
              <w:rPr>
                <w:rFonts w:hint="eastAsia" w:ascii="仿宋" w:hAnsi="仿宋" w:eastAsia="仿宋" w:cs="仿宋"/>
                <w:color w:val="auto"/>
                <w:sz w:val="24"/>
              </w:rPr>
              <w:t>教学资源推介面广、材料丰富（包含课程思政内容）。</w:t>
            </w:r>
          </w:p>
        </w:tc>
        <w:tc>
          <w:tcPr>
            <w:tcW w:w="1109" w:type="dxa"/>
            <w:noWrap w:val="0"/>
            <w:vAlign w:val="center"/>
          </w:tcPr>
          <w:p w14:paraId="78E94CF1">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5</w:t>
            </w:r>
          </w:p>
        </w:tc>
      </w:tr>
    </w:tbl>
    <w:p w14:paraId="598DC762">
      <w:pPr>
        <w:ind w:firstLine="480" w:firstLineChars="200"/>
        <w:jc w:val="both"/>
        <w:rPr>
          <w:rFonts w:ascii="仿宋" w:hAnsi="仿宋" w:eastAsia="仿宋" w:cs="仿宋"/>
          <w:color w:val="auto"/>
          <w:sz w:val="24"/>
        </w:rPr>
        <w:sectPr>
          <w:footerReference r:id="rId3" w:type="default"/>
          <w:pgSz w:w="11910" w:h="16840"/>
          <w:pgMar w:top="1440" w:right="1576" w:bottom="1440" w:left="1576" w:header="0" w:footer="1477" w:gutter="0"/>
          <w:pgNumType w:fmt="decimal"/>
          <w:cols w:space="720" w:num="1"/>
        </w:sectPr>
      </w:pPr>
    </w:p>
    <w:p w14:paraId="5B877383">
      <w:pPr>
        <w:pStyle w:val="3"/>
        <w:spacing w:before="35" w:after="14"/>
        <w:jc w:val="both"/>
        <w:rPr>
          <w:rFonts w:ascii="楷体" w:hAnsi="楷体" w:eastAsia="楷体" w:cs="楷体"/>
          <w:color w:val="auto"/>
        </w:rPr>
      </w:pPr>
      <w:r>
        <w:rPr>
          <w:rFonts w:hint="eastAsia" w:ascii="楷体" w:hAnsi="楷体" w:eastAsia="楷体" w:cs="楷体"/>
          <w:color w:val="auto"/>
        </w:rPr>
        <w:t>（二）现场展示评分标准（100分）</w:t>
      </w:r>
    </w:p>
    <w:tbl>
      <w:tblPr>
        <w:tblStyle w:val="5"/>
        <w:tblW w:w="8770"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8"/>
        <w:gridCol w:w="6562"/>
        <w:gridCol w:w="900"/>
      </w:tblGrid>
      <w:tr w14:paraId="6812F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08" w:type="dxa"/>
            <w:noWrap w:val="0"/>
            <w:vAlign w:val="center"/>
          </w:tcPr>
          <w:p w14:paraId="7828623D">
            <w:pPr>
              <w:pStyle w:val="7"/>
              <w:spacing w:line="360" w:lineRule="exact"/>
              <w:jc w:val="center"/>
              <w:rPr>
                <w:b/>
                <w:color w:val="auto"/>
                <w:sz w:val="24"/>
              </w:rPr>
            </w:pPr>
            <w:r>
              <w:rPr>
                <w:rFonts w:hint="eastAsia"/>
                <w:b/>
                <w:color w:val="auto"/>
                <w:sz w:val="24"/>
              </w:rPr>
              <w:t>评价指标</w:t>
            </w:r>
          </w:p>
        </w:tc>
        <w:tc>
          <w:tcPr>
            <w:tcW w:w="6562" w:type="dxa"/>
            <w:noWrap w:val="0"/>
            <w:vAlign w:val="center"/>
          </w:tcPr>
          <w:p w14:paraId="01D4E4C2">
            <w:pPr>
              <w:pStyle w:val="7"/>
              <w:spacing w:line="360" w:lineRule="exact"/>
              <w:jc w:val="center"/>
              <w:rPr>
                <w:b/>
                <w:color w:val="auto"/>
                <w:sz w:val="24"/>
              </w:rPr>
            </w:pPr>
            <w:r>
              <w:rPr>
                <w:rFonts w:hint="eastAsia"/>
                <w:b/>
                <w:color w:val="auto"/>
                <w:sz w:val="24"/>
              </w:rPr>
              <w:t>具体内容</w:t>
            </w:r>
          </w:p>
        </w:tc>
        <w:tc>
          <w:tcPr>
            <w:tcW w:w="900" w:type="dxa"/>
            <w:noWrap w:val="0"/>
            <w:vAlign w:val="center"/>
          </w:tcPr>
          <w:p w14:paraId="107F9D8C">
            <w:pPr>
              <w:pStyle w:val="7"/>
              <w:spacing w:line="360" w:lineRule="exact"/>
              <w:jc w:val="center"/>
              <w:rPr>
                <w:b/>
                <w:color w:val="auto"/>
                <w:sz w:val="24"/>
              </w:rPr>
            </w:pPr>
            <w:r>
              <w:rPr>
                <w:rFonts w:hint="eastAsia"/>
                <w:b/>
                <w:color w:val="auto"/>
                <w:sz w:val="24"/>
              </w:rPr>
              <w:t>分值</w:t>
            </w:r>
          </w:p>
        </w:tc>
      </w:tr>
      <w:tr w14:paraId="7E0C0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1308" w:type="dxa"/>
            <w:vMerge w:val="restart"/>
            <w:noWrap w:val="0"/>
            <w:vAlign w:val="center"/>
          </w:tcPr>
          <w:p w14:paraId="4B17CA69">
            <w:pPr>
              <w:pStyle w:val="7"/>
              <w:spacing w:line="360" w:lineRule="exact"/>
              <w:jc w:val="center"/>
              <w:rPr>
                <w:b/>
                <w:bCs/>
                <w:color w:val="auto"/>
                <w:sz w:val="21"/>
                <w:szCs w:val="21"/>
              </w:rPr>
            </w:pPr>
            <w:r>
              <w:rPr>
                <w:rFonts w:hint="eastAsia"/>
                <w:b/>
                <w:bCs/>
                <w:color w:val="auto"/>
                <w:sz w:val="21"/>
                <w:szCs w:val="21"/>
              </w:rPr>
              <w:t>教学实施</w:t>
            </w:r>
          </w:p>
        </w:tc>
        <w:tc>
          <w:tcPr>
            <w:tcW w:w="6562" w:type="dxa"/>
            <w:noWrap w:val="0"/>
            <w:vAlign w:val="center"/>
          </w:tcPr>
          <w:p w14:paraId="188CBA10">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善于提炼课程蕴含的育人因素，能将思想政治教育和专业知识传授融合，教学内容呈现恰当，教学活动组织合理。</w:t>
            </w:r>
          </w:p>
        </w:tc>
        <w:tc>
          <w:tcPr>
            <w:tcW w:w="900" w:type="dxa"/>
            <w:noWrap w:val="0"/>
            <w:vAlign w:val="center"/>
          </w:tcPr>
          <w:p w14:paraId="6CE8066E">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20</w:t>
            </w:r>
          </w:p>
        </w:tc>
      </w:tr>
      <w:tr w14:paraId="5063B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1308" w:type="dxa"/>
            <w:vMerge w:val="continue"/>
            <w:tcBorders>
              <w:top w:val="nil"/>
            </w:tcBorders>
            <w:noWrap w:val="0"/>
            <w:vAlign w:val="center"/>
          </w:tcPr>
          <w:p w14:paraId="79D4C1FC">
            <w:pPr>
              <w:spacing w:line="360" w:lineRule="exact"/>
              <w:ind w:firstLine="422" w:firstLineChars="200"/>
              <w:jc w:val="center"/>
              <w:rPr>
                <w:b/>
                <w:bCs/>
                <w:color w:val="auto"/>
                <w:sz w:val="21"/>
                <w:szCs w:val="21"/>
              </w:rPr>
            </w:pPr>
          </w:p>
        </w:tc>
        <w:tc>
          <w:tcPr>
            <w:tcW w:w="6562" w:type="dxa"/>
            <w:noWrap w:val="0"/>
            <w:vAlign w:val="center"/>
          </w:tcPr>
          <w:p w14:paraId="0FD17D49">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善于综合运用现代信息技术手段和数字资源把思政教育巧妙渗透教学全过程，教学方法运用恰当，教学策略使用有效。</w:t>
            </w:r>
          </w:p>
        </w:tc>
        <w:tc>
          <w:tcPr>
            <w:tcW w:w="900" w:type="dxa"/>
            <w:noWrap w:val="0"/>
            <w:vAlign w:val="center"/>
          </w:tcPr>
          <w:p w14:paraId="0A3263AC">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15</w:t>
            </w:r>
          </w:p>
        </w:tc>
      </w:tr>
      <w:tr w14:paraId="5524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308" w:type="dxa"/>
            <w:vMerge w:val="continue"/>
            <w:tcBorders>
              <w:top w:val="nil"/>
            </w:tcBorders>
            <w:noWrap w:val="0"/>
            <w:vAlign w:val="center"/>
          </w:tcPr>
          <w:p w14:paraId="20EFEBD9">
            <w:pPr>
              <w:spacing w:line="360" w:lineRule="exact"/>
              <w:ind w:firstLine="422" w:firstLineChars="200"/>
              <w:jc w:val="center"/>
              <w:rPr>
                <w:b/>
                <w:bCs/>
                <w:color w:val="auto"/>
                <w:sz w:val="21"/>
                <w:szCs w:val="21"/>
              </w:rPr>
            </w:pPr>
          </w:p>
        </w:tc>
        <w:tc>
          <w:tcPr>
            <w:tcW w:w="6562" w:type="dxa"/>
            <w:noWrap w:val="0"/>
            <w:vAlign w:val="center"/>
          </w:tcPr>
          <w:p w14:paraId="79AACBA9">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注重教学互动，突出学生主体地位，调动学生参与课堂积极性。</w:t>
            </w:r>
          </w:p>
        </w:tc>
        <w:tc>
          <w:tcPr>
            <w:tcW w:w="900" w:type="dxa"/>
            <w:noWrap w:val="0"/>
            <w:vAlign w:val="center"/>
          </w:tcPr>
          <w:p w14:paraId="0C26EADB">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10</w:t>
            </w:r>
          </w:p>
        </w:tc>
      </w:tr>
      <w:tr w14:paraId="20E29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308" w:type="dxa"/>
            <w:vMerge w:val="restart"/>
            <w:noWrap w:val="0"/>
            <w:vAlign w:val="center"/>
          </w:tcPr>
          <w:p w14:paraId="0C9B2459">
            <w:pPr>
              <w:pStyle w:val="7"/>
              <w:spacing w:line="360" w:lineRule="exact"/>
              <w:jc w:val="center"/>
              <w:rPr>
                <w:b/>
                <w:bCs/>
                <w:color w:val="auto"/>
                <w:sz w:val="21"/>
                <w:szCs w:val="21"/>
              </w:rPr>
            </w:pPr>
            <w:r>
              <w:rPr>
                <w:rFonts w:hint="eastAsia"/>
                <w:b/>
                <w:bCs/>
                <w:color w:val="auto"/>
                <w:sz w:val="21"/>
                <w:szCs w:val="21"/>
              </w:rPr>
              <w:t>教学效果</w:t>
            </w:r>
          </w:p>
        </w:tc>
        <w:tc>
          <w:tcPr>
            <w:tcW w:w="6562" w:type="dxa"/>
            <w:noWrap w:val="0"/>
            <w:vAlign w:val="center"/>
          </w:tcPr>
          <w:p w14:paraId="69564DBC">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注重思想理论教育和价值引领，有效达成教学目标，效果明显。</w:t>
            </w:r>
          </w:p>
        </w:tc>
        <w:tc>
          <w:tcPr>
            <w:tcW w:w="900" w:type="dxa"/>
            <w:noWrap w:val="0"/>
            <w:vAlign w:val="center"/>
          </w:tcPr>
          <w:p w14:paraId="3E511ED7">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20</w:t>
            </w:r>
          </w:p>
        </w:tc>
      </w:tr>
      <w:tr w14:paraId="50C78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1308" w:type="dxa"/>
            <w:vMerge w:val="continue"/>
            <w:tcBorders>
              <w:top w:val="nil"/>
            </w:tcBorders>
            <w:noWrap w:val="0"/>
            <w:vAlign w:val="center"/>
          </w:tcPr>
          <w:p w14:paraId="7BA1942C">
            <w:pPr>
              <w:spacing w:line="360" w:lineRule="exact"/>
              <w:ind w:firstLine="422" w:firstLineChars="200"/>
              <w:jc w:val="center"/>
              <w:rPr>
                <w:b/>
                <w:bCs/>
                <w:color w:val="auto"/>
                <w:sz w:val="21"/>
                <w:szCs w:val="21"/>
              </w:rPr>
            </w:pPr>
          </w:p>
        </w:tc>
        <w:tc>
          <w:tcPr>
            <w:tcW w:w="6562" w:type="dxa"/>
            <w:noWrap w:val="0"/>
            <w:vAlign w:val="center"/>
          </w:tcPr>
          <w:p w14:paraId="23086643">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课堂教学能结合课程特色挖掘育人因素，课堂实施成效好，特色鲜明，具有较强的示范性。</w:t>
            </w:r>
          </w:p>
        </w:tc>
        <w:tc>
          <w:tcPr>
            <w:tcW w:w="900" w:type="dxa"/>
            <w:noWrap w:val="0"/>
            <w:vAlign w:val="center"/>
          </w:tcPr>
          <w:p w14:paraId="41117533">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10</w:t>
            </w:r>
          </w:p>
        </w:tc>
      </w:tr>
      <w:tr w14:paraId="44564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1308" w:type="dxa"/>
            <w:noWrap w:val="0"/>
            <w:vAlign w:val="center"/>
          </w:tcPr>
          <w:p w14:paraId="113D3F87">
            <w:pPr>
              <w:pStyle w:val="7"/>
              <w:spacing w:line="360" w:lineRule="exact"/>
              <w:jc w:val="center"/>
              <w:rPr>
                <w:b/>
                <w:bCs/>
                <w:color w:val="auto"/>
                <w:sz w:val="21"/>
                <w:szCs w:val="21"/>
              </w:rPr>
            </w:pPr>
            <w:r>
              <w:rPr>
                <w:rFonts w:hint="eastAsia"/>
                <w:b/>
                <w:bCs/>
                <w:color w:val="auto"/>
                <w:sz w:val="21"/>
                <w:szCs w:val="21"/>
              </w:rPr>
              <w:t>教师素养与创新特色</w:t>
            </w:r>
          </w:p>
        </w:tc>
        <w:tc>
          <w:tcPr>
            <w:tcW w:w="6562" w:type="dxa"/>
            <w:noWrap w:val="0"/>
            <w:vAlign w:val="center"/>
          </w:tcPr>
          <w:p w14:paraId="13E52CB9">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具有良好的专业素养、科学精神、人文情怀；教态大方，举止得体，精神饱满，综合素质高；个人教学特色突出。</w:t>
            </w:r>
          </w:p>
        </w:tc>
        <w:tc>
          <w:tcPr>
            <w:tcW w:w="900" w:type="dxa"/>
            <w:noWrap w:val="0"/>
            <w:vAlign w:val="center"/>
          </w:tcPr>
          <w:p w14:paraId="54A2D713">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15</w:t>
            </w:r>
          </w:p>
        </w:tc>
      </w:tr>
      <w:tr w14:paraId="40130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308" w:type="dxa"/>
            <w:noWrap w:val="0"/>
            <w:vAlign w:val="center"/>
          </w:tcPr>
          <w:p w14:paraId="1E843362">
            <w:pPr>
              <w:pStyle w:val="7"/>
              <w:spacing w:line="360" w:lineRule="exact"/>
              <w:jc w:val="center"/>
              <w:rPr>
                <w:b/>
                <w:bCs/>
                <w:color w:val="auto"/>
                <w:sz w:val="21"/>
                <w:szCs w:val="21"/>
              </w:rPr>
            </w:pPr>
            <w:r>
              <w:rPr>
                <w:rFonts w:hint="eastAsia"/>
                <w:b/>
                <w:bCs/>
                <w:color w:val="auto"/>
                <w:sz w:val="21"/>
                <w:szCs w:val="21"/>
              </w:rPr>
              <w:t>现场提问</w:t>
            </w:r>
          </w:p>
        </w:tc>
        <w:tc>
          <w:tcPr>
            <w:tcW w:w="6562" w:type="dxa"/>
            <w:noWrap w:val="0"/>
            <w:vAlign w:val="center"/>
          </w:tcPr>
          <w:p w14:paraId="1B890F5B">
            <w:pPr>
              <w:pStyle w:val="7"/>
              <w:spacing w:line="360" w:lineRule="exact"/>
              <w:jc w:val="both"/>
              <w:rPr>
                <w:rFonts w:ascii="仿宋" w:hAnsi="仿宋" w:eastAsia="仿宋" w:cs="仿宋"/>
                <w:color w:val="auto"/>
                <w:sz w:val="24"/>
              </w:rPr>
            </w:pPr>
            <w:r>
              <w:rPr>
                <w:rFonts w:hint="eastAsia" w:ascii="仿宋" w:hAnsi="仿宋" w:eastAsia="仿宋" w:cs="仿宋"/>
                <w:color w:val="auto"/>
                <w:sz w:val="24"/>
              </w:rPr>
              <w:t>回答评委提出的问题，条理清晰，抓住要点，观点正确，理由充分，见解独到，针对性强。</w:t>
            </w:r>
          </w:p>
        </w:tc>
        <w:tc>
          <w:tcPr>
            <w:tcW w:w="900" w:type="dxa"/>
            <w:noWrap w:val="0"/>
            <w:vAlign w:val="center"/>
          </w:tcPr>
          <w:p w14:paraId="495E6D29">
            <w:pPr>
              <w:pStyle w:val="7"/>
              <w:spacing w:line="360" w:lineRule="exact"/>
              <w:jc w:val="center"/>
              <w:rPr>
                <w:rFonts w:ascii="仿宋" w:hAnsi="仿宋" w:eastAsia="仿宋" w:cs="仿宋"/>
                <w:color w:val="auto"/>
                <w:sz w:val="24"/>
              </w:rPr>
            </w:pPr>
            <w:r>
              <w:rPr>
                <w:rFonts w:hint="eastAsia" w:ascii="仿宋" w:hAnsi="仿宋" w:eastAsia="仿宋" w:cs="仿宋"/>
                <w:color w:val="auto"/>
                <w:sz w:val="24"/>
              </w:rPr>
              <w:t>10</w:t>
            </w:r>
          </w:p>
        </w:tc>
      </w:tr>
    </w:tbl>
    <w:p w14:paraId="310B5919">
      <w:pPr>
        <w:rPr>
          <w:rFonts w:hint="eastAsia" w:eastAsia="等线"/>
          <w:color w:val="auto"/>
          <w:lang w:eastAsia="zh-CN"/>
        </w:rPr>
      </w:pPr>
    </w:p>
    <w:p w14:paraId="204252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erpetua Titling MT"/>
    <w:panose1 w:val="02020500000000000000"/>
    <w:charset w:val="00"/>
    <w:family w:val="roman"/>
    <w:pitch w:val="default"/>
    <w:sig w:usb0="00000000" w:usb1="00000000" w:usb2="00000016" w:usb3="00000000" w:csb0="00100001" w:csb1="00000000"/>
  </w:font>
  <w:font w:name="Perpetua Titling MT">
    <w:panose1 w:val="02020502060505020804"/>
    <w:charset w:val="00"/>
    <w:family w:val="auto"/>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F72E">
    <w:pPr>
      <w:pStyle w:val="3"/>
      <w:spacing w:line="14" w:lineRule="auto"/>
      <w:ind w:left="0"/>
      <w:rPr>
        <w:sz w:val="20"/>
      </w:rPr>
    </w:pP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E50895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7E50895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074BA"/>
    <w:rsid w:val="5D097E3B"/>
    <w:rsid w:val="5F7710A7"/>
    <w:rsid w:val="6FF86903"/>
    <w:rsid w:val="78773E66"/>
    <w:rsid w:val="7C894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spacing w:before="288"/>
      <w:ind w:left="2706" w:right="1164" w:hanging="1815"/>
      <w:outlineLvl w:val="0"/>
    </w:pPr>
    <w:rPr>
      <w:rFonts w:ascii="PMingLiU" w:hAnsi="PMingLiU" w:eastAsia="PMingLiU" w:cs="PMingLiU"/>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62"/>
    </w:pPr>
    <w:rPr>
      <w:rFonts w:ascii="等线" w:hAnsi="等线" w:eastAsia="等线" w:cs="Times New Roman"/>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等线" w:hAnsi="等线" w:eastAsia="等线" w:cs="Times New Roman"/>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917</Words>
  <Characters>931</Characters>
  <Lines>0</Lines>
  <Paragraphs>0</Paragraphs>
  <TotalTime>0</TotalTime>
  <ScaleCrop>false</ScaleCrop>
  <LinksUpToDate>false</LinksUpToDate>
  <CharactersWithSpaces>931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2025-05-29T08:03:00Z</dcterms:created>
  <dc:creator>weo98</dc:creator>
  <cp:lastModifiedBy>刘亚丽</cp:lastModifiedBy>
  <dcterms:modified xsi:type="dcterms:W3CDTF">2025-06-05T01:24:11Z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eyJoZGlkIjoiNTE0Yzg4YjI3ZmJiNjNjNThmMWJjOTA1ZTdlYWQ3MzIiLCJ1c2VySWQiOiI0Mjk3NTA4NzEifQ==</vt:lpwstr>
  </property>
  <property fmtid="{D5CDD505-2E9C-101B-9397-08002B2CF9AE}" pid="4" name="ICV">
    <vt:lpwstr>8F29CB4E32C1465EA48A7D8651A8FD5A_12</vt:lpwstr>
  </property>
</Properties>
</file>